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附件2：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spacing w:line="840" w:lineRule="exact"/>
        <w:jc w:val="center"/>
        <w:rPr>
          <w:rFonts w:hint="eastAsia"/>
          <w:b/>
          <w:bCs/>
          <w:color w:val="auto"/>
          <w:sz w:val="68"/>
          <w:szCs w:val="6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8"/>
          <w:szCs w:val="68"/>
          <w:highlight w:val="none"/>
        </w:rPr>
        <w:t>武汉市物业管理示范项目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96"/>
          <w:szCs w:val="96"/>
          <w:highlight w:val="none"/>
        </w:rPr>
      </w:pPr>
    </w:p>
    <w:p>
      <w:pPr>
        <w:spacing w:line="2000" w:lineRule="exact"/>
        <w:ind w:firstLine="56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96"/>
          <w:szCs w:val="96"/>
          <w:highlight w:val="none"/>
        </w:rPr>
        <w:t>申</w:t>
      </w:r>
    </w:p>
    <w:p>
      <w:pPr>
        <w:spacing w:line="2000" w:lineRule="exact"/>
        <w:ind w:firstLine="560"/>
        <w:jc w:val="center"/>
        <w:rPr>
          <w:rFonts w:hint="eastAsia" w:ascii="仿宋" w:hAnsi="仿宋" w:eastAsia="仿宋" w:cs="仿宋"/>
          <w:b/>
          <w:bCs/>
          <w:color w:val="auto"/>
          <w:sz w:val="96"/>
          <w:szCs w:val="96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96"/>
          <w:szCs w:val="96"/>
          <w:highlight w:val="none"/>
        </w:rPr>
        <w:t>报</w:t>
      </w:r>
    </w:p>
    <w:p>
      <w:pPr>
        <w:spacing w:line="2000" w:lineRule="exact"/>
        <w:ind w:firstLine="560"/>
        <w:jc w:val="center"/>
        <w:rPr>
          <w:rFonts w:hint="eastAsia" w:ascii="仿宋" w:hAnsi="仿宋" w:eastAsia="仿宋" w:cs="仿宋"/>
          <w:b/>
          <w:bCs/>
          <w:color w:val="auto"/>
          <w:sz w:val="96"/>
          <w:szCs w:val="96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96"/>
          <w:szCs w:val="96"/>
          <w:highlight w:val="none"/>
        </w:rPr>
        <w:t>表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52"/>
          <w:szCs w:val="52"/>
          <w:highlight w:val="none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52"/>
          <w:szCs w:val="52"/>
          <w:highlight w:val="none"/>
        </w:rPr>
      </w:pPr>
    </w:p>
    <w:p>
      <w:pPr>
        <w:spacing w:line="800" w:lineRule="exact"/>
        <w:jc w:val="left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t xml:space="preserve">          项  目 名 称：</w:t>
      </w:r>
    </w:p>
    <w:p>
      <w:pPr>
        <w:spacing w:line="800" w:lineRule="exact"/>
        <w:jc w:val="left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t xml:space="preserve">          申  报 日 期：</w:t>
      </w:r>
    </w:p>
    <w:p>
      <w:pPr>
        <w:spacing w:line="800" w:lineRule="exact"/>
        <w:jc w:val="left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t xml:space="preserve">          管理单位名称：</w:t>
      </w:r>
    </w:p>
    <w:p>
      <w:pPr>
        <w:jc w:val="center"/>
        <w:rPr>
          <w:rFonts w:hint="eastAsia" w:ascii="方正大标宋_GBK" w:eastAsia="方正大标宋_GBK"/>
          <w:bCs/>
          <w:color w:val="auto"/>
          <w:sz w:val="40"/>
          <w:szCs w:val="40"/>
          <w:highlight w:val="none"/>
        </w:rPr>
      </w:pPr>
      <w:r>
        <w:rPr>
          <w:rFonts w:hint="eastAsia" w:ascii="方正大标宋_GBK" w:eastAsia="方正大标宋_GBK"/>
          <w:bCs/>
          <w:color w:val="auto"/>
          <w:sz w:val="40"/>
          <w:szCs w:val="40"/>
          <w:highlight w:val="none"/>
        </w:rPr>
        <w:br w:type="page"/>
      </w:r>
    </w:p>
    <w:p>
      <w:pPr>
        <w:jc w:val="center"/>
        <w:rPr>
          <w:rFonts w:hint="eastAsia" w:ascii="方正大标宋_GBK" w:eastAsia="方正大标宋_GBK"/>
          <w:b/>
          <w:bCs w:val="0"/>
          <w:color w:val="auto"/>
          <w:sz w:val="40"/>
          <w:szCs w:val="40"/>
          <w:highlight w:val="none"/>
        </w:rPr>
      </w:pPr>
      <w:r>
        <w:rPr>
          <w:rFonts w:hint="eastAsia" w:ascii="方正大标宋_GBK" w:eastAsia="方正大标宋_GBK"/>
          <w:b/>
          <w:bCs w:val="0"/>
          <w:color w:val="auto"/>
          <w:sz w:val="40"/>
          <w:szCs w:val="40"/>
          <w:highlight w:val="none"/>
        </w:rPr>
        <w:t>说    明</w:t>
      </w:r>
    </w:p>
    <w:p>
      <w:pPr>
        <w:jc w:val="center"/>
        <w:rPr>
          <w:rFonts w:hint="eastAsia" w:ascii="方正大标宋_GBK" w:eastAsia="方正大标宋_GBK"/>
          <w:bCs/>
          <w:color w:val="auto"/>
          <w:sz w:val="40"/>
          <w:szCs w:val="40"/>
          <w:highlight w:val="none"/>
        </w:rPr>
      </w:pPr>
    </w:p>
    <w:p>
      <w:pP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 xml:space="preserve">   一、本表由申报武汉市物业管理示范项目的管理单位填写，一式两份（交市协会一份，区工作委员会留存一份）；                             </w:t>
      </w:r>
    </w:p>
    <w:p>
      <w:pPr>
        <w:ind w:firstLine="560" w:firstLineChars="200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二、表格内一律用电脑打印，不得填写；</w:t>
      </w:r>
    </w:p>
    <w:p>
      <w:pP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 xml:space="preserve">    三、企业申报材料须真实有效，如有虚假，取消参评资格。</w:t>
      </w:r>
    </w:p>
    <w:p>
      <w:pP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 xml:space="preserve">    四、各单位的申报材料请按照需提供的材料内容及顺序要求准备，统一用透明拉杆文件夹装订成册。具体申报材料附件要求如下：</w:t>
      </w:r>
    </w:p>
    <w:p>
      <w:pPr>
        <w:jc w:val="left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 xml:space="preserve">   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 xml:space="preserve">  1、附件1——第一部分（企业概况）：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简要介绍基本情况（发展历史、组织架构、管理规模、企业经营管理理念、服务特色和新技术应用等）；</w:t>
      </w:r>
    </w:p>
    <w:p>
      <w:pPr>
        <w:jc w:val="left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 xml:space="preserve">     2、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附件2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——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第二部分（项目概况）：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简要介绍基本情况（建筑面积、物业类型构成、交付时间、业主委员会情况、入住率、满意率、收费率和服务品质等）；</w:t>
      </w:r>
    </w:p>
    <w:p>
      <w:pPr>
        <w:jc w:val="left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 xml:space="preserve">     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</w:rPr>
        <w:t>3、附件3——第三部分（相关材料）：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（1）本项目《（前期）物业服务合同》；（2）承诺书；（3）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u w:val="single"/>
        </w:rPr>
        <w:t xml:space="preserve">XX项目 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申报物业管理示范项目征询意见证明。</w:t>
      </w:r>
    </w:p>
    <w:p>
      <w:pPr>
        <w:jc w:val="center"/>
        <w:rPr>
          <w:rFonts w:hint="eastAsia" w:ascii="黑体" w:hAnsi="黑体" w:eastAsia="黑体" w:cs="黑体"/>
          <w:b/>
          <w:color w:val="auto"/>
          <w:sz w:val="36"/>
          <w:szCs w:val="36"/>
          <w:highlight w:val="none"/>
        </w:rPr>
      </w:pPr>
      <w:r>
        <w:rPr>
          <w:rFonts w:hint="eastAsia" w:eastAsia="仿宋_GB2312"/>
          <w:b/>
          <w:color w:val="auto"/>
          <w:sz w:val="32"/>
          <w:szCs w:val="32"/>
          <w:highlight w:val="none"/>
        </w:rPr>
        <w:br w:type="page"/>
      </w:r>
      <w:r>
        <w:rPr>
          <w:rFonts w:hint="eastAsia" w:ascii="黑体" w:hAnsi="黑体" w:eastAsia="黑体" w:cs="黑体"/>
          <w:b/>
          <w:color w:val="auto"/>
          <w:sz w:val="36"/>
          <w:szCs w:val="36"/>
          <w:highlight w:val="none"/>
        </w:rPr>
        <w:t>武汉市物业管理示范项目申报表</w:t>
      </w:r>
    </w:p>
    <w:p>
      <w:pPr>
        <w:ind w:right="480"/>
        <w:rPr>
          <w:rFonts w:hint="eastAsia" w:ascii="黑体" w:hAnsi="黑体" w:eastAsia="黑体" w:cs="黑体"/>
          <w:color w:val="auto"/>
          <w:sz w:val="24"/>
          <w:highlight w:val="none"/>
        </w:rPr>
      </w:pPr>
    </w:p>
    <w:tbl>
      <w:tblPr>
        <w:tblStyle w:val="3"/>
        <w:tblpPr w:leftFromText="180" w:rightFromText="180" w:vertAnchor="page" w:horzAnchor="margin" w:tblpXSpec="center" w:tblpY="2689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60"/>
        <w:gridCol w:w="720"/>
        <w:gridCol w:w="540"/>
        <w:gridCol w:w="180"/>
        <w:gridCol w:w="1260"/>
        <w:gridCol w:w="540"/>
        <w:gridCol w:w="180"/>
        <w:gridCol w:w="720"/>
        <w:gridCol w:w="741"/>
        <w:gridCol w:w="159"/>
        <w:gridCol w:w="540"/>
        <w:gridCol w:w="1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项 目 名 称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总建筑面积（㎡）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项目管理单位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（公章）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物 业 类 型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□小区</w:t>
            </w: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□小区</w:t>
            </w: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eastAsia="zh-CN"/>
              </w:rPr>
              <w:t>（前期）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□大厦</w:t>
            </w: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□工业区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648" w:type="dxa"/>
            <w:gridSpan w:val="14"/>
            <w:vAlign w:val="center"/>
          </w:tcPr>
          <w:p>
            <w:pPr>
              <w:ind w:firstLine="240" w:firstLineChars="100"/>
              <w:jc w:val="both"/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eastAsia="zh-CN"/>
              </w:rPr>
              <w:t>项目地址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项目启用时间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本单位接管时间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项目负责人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获取本项目方式</w:t>
            </w:r>
          </w:p>
        </w:tc>
        <w:tc>
          <w:tcPr>
            <w:tcW w:w="7740" w:type="dxa"/>
            <w:gridSpan w:val="12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□公开招投标    □权属人邀请招投标    □自建自管 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小区业委会状况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□已建立</w:t>
            </w: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□未建立</w:t>
            </w:r>
          </w:p>
        </w:tc>
        <w:tc>
          <w:tcPr>
            <w:tcW w:w="2181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与业委会订立合同</w:t>
            </w:r>
          </w:p>
        </w:tc>
        <w:tc>
          <w:tcPr>
            <w:tcW w:w="2859" w:type="dxa"/>
            <w:gridSpan w:val="4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 xml:space="preserve">□已订立 </w:t>
            </w: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□未订立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9648" w:type="dxa"/>
            <w:gridSpan w:val="14"/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项目（物业）基本概况（须另附页）：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9648" w:type="dxa"/>
            <w:gridSpan w:val="14"/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项目所在区工作委员会意见</w:t>
            </w: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eastAsia="zh-CN"/>
              </w:rPr>
              <w:t>：</w:t>
            </w:r>
          </w:p>
          <w:p>
            <w:pP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</w:p>
          <w:p>
            <w:pP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</w:p>
          <w:p>
            <w:pP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</w:p>
          <w:p>
            <w:pP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</w:p>
          <w:p>
            <w:pP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</w:p>
          <w:p>
            <w:pPr>
              <w:ind w:firstLine="2400" w:firstLineChars="1000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</w:p>
          <w:p>
            <w:pPr>
              <w:ind w:firstLine="6960" w:firstLineChars="2900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负责人：</w:t>
            </w:r>
          </w:p>
          <w:p>
            <w:pPr>
              <w:ind w:firstLine="6960" w:firstLineChars="2900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9648" w:type="dxa"/>
            <w:gridSpan w:val="14"/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项目联系人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color w:val="auto"/>
                <w:sz w:val="24"/>
                <w:highlight w:val="none"/>
                <w:u w:val="single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ind w:left="600" w:hanging="600" w:hangingChars="250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联系</w:t>
            </w:r>
          </w:p>
          <w:p>
            <w:pPr>
              <w:ind w:left="600" w:hanging="600" w:hangingChars="250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方式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电话</w:t>
            </w: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  <w:u w:val="single"/>
              </w:rPr>
              <w:t xml:space="preserve">               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rPr>
                <w:rFonts w:hint="eastAsia" w:ascii="黑体" w:hAnsi="黑体" w:eastAsia="黑体" w:cs="黑体"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手机</w:t>
            </w: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  <w:lang w:eastAsia="zh-CN"/>
              </w:rPr>
              <w:t>号</w:t>
            </w: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  <w:u w:val="single"/>
              </w:rPr>
              <w:t xml:space="preserve">              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color w:val="auto"/>
                <w:sz w:val="24"/>
                <w:highlight w:val="none"/>
                <w:u w:val="singl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QQ</w:t>
            </w: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  <w:u w:val="single"/>
              </w:rPr>
              <w:t xml:space="preserve">              </w:t>
            </w:r>
          </w:p>
        </w:tc>
      </w:tr>
    </w:tbl>
    <w:p>
      <w:pPr>
        <w:jc w:val="right"/>
        <w:rPr>
          <w:rFonts w:hint="eastAsia" w:ascii="黑体" w:hAnsi="黑体" w:eastAsia="黑体" w:cs="黑体"/>
          <w:color w:val="auto"/>
          <w:sz w:val="24"/>
          <w:highlight w:val="none"/>
        </w:rPr>
      </w:pPr>
      <w:r>
        <w:rPr>
          <w:rFonts w:hint="eastAsia" w:ascii="黑体" w:hAnsi="黑体" w:eastAsia="黑体" w:cs="黑体"/>
          <w:color w:val="auto"/>
          <w:sz w:val="24"/>
          <w:highlight w:val="none"/>
        </w:rPr>
        <w:t>申报日期：20</w:t>
      </w:r>
      <w:r>
        <w:rPr>
          <w:rFonts w:hint="eastAsia" w:ascii="黑体" w:hAnsi="黑体" w:eastAsia="黑体" w:cs="黑体"/>
          <w:color w:val="auto"/>
          <w:sz w:val="24"/>
          <w:highlight w:val="none"/>
          <w:lang w:val="en-US" w:eastAsia="zh-CN"/>
        </w:rPr>
        <w:t>24</w:t>
      </w:r>
      <w:r>
        <w:rPr>
          <w:rFonts w:hint="eastAsia" w:ascii="黑体" w:hAnsi="黑体" w:eastAsia="黑体" w:cs="黑体"/>
          <w:color w:val="auto"/>
          <w:sz w:val="24"/>
          <w:highlight w:val="none"/>
        </w:rPr>
        <w:t>年   月    日</w:t>
      </w:r>
    </w:p>
    <w:p>
      <w:pPr>
        <w:rPr>
          <w:rFonts w:hint="eastAsia" w:ascii="黑体" w:hAnsi="黑体" w:eastAsia="黑体" w:cs="黑体"/>
          <w:color w:val="auto"/>
          <w:sz w:val="24"/>
          <w:highlight w:val="none"/>
          <w:lang w:val="zh-CN"/>
        </w:rPr>
      </w:pPr>
    </w:p>
    <w:p>
      <w:pPr>
        <w:rPr>
          <w:rFonts w:hint="eastAsia" w:ascii="黑体" w:hAnsi="黑体" w:eastAsia="黑体" w:cs="黑体"/>
          <w:color w:val="auto"/>
          <w:sz w:val="24"/>
          <w:highlight w:val="none"/>
        </w:rPr>
      </w:pPr>
      <w:r>
        <w:rPr>
          <w:rFonts w:hint="eastAsia" w:ascii="黑体" w:hAnsi="黑体" w:eastAsia="黑体" w:cs="黑体"/>
          <w:color w:val="auto"/>
          <w:sz w:val="24"/>
          <w:highlight w:val="none"/>
          <w:lang w:val="zh-CN"/>
        </w:rPr>
        <w:t>项目申报要求：</w:t>
      </w:r>
      <w:r>
        <w:rPr>
          <w:rFonts w:hint="eastAsia" w:ascii="黑体" w:hAnsi="黑体" w:eastAsia="黑体" w:cs="黑体"/>
          <w:color w:val="auto"/>
          <w:sz w:val="24"/>
          <w:highlight w:val="none"/>
        </w:rPr>
        <w:t>1、住宅类：小区</w:t>
      </w:r>
      <w:r>
        <w:rPr>
          <w:rFonts w:hint="eastAsia" w:ascii="黑体" w:hAnsi="黑体" w:eastAsia="黑体" w:cs="黑体"/>
          <w:color w:val="auto"/>
          <w:sz w:val="24"/>
          <w:highlight w:val="none"/>
          <w:lang w:val="zh-CN"/>
        </w:rPr>
        <w:t>建筑面积</w:t>
      </w:r>
      <w:r>
        <w:rPr>
          <w:rFonts w:hint="eastAsia" w:ascii="黑体" w:hAnsi="黑体" w:eastAsia="黑体" w:cs="黑体"/>
          <w:color w:val="auto"/>
          <w:sz w:val="24"/>
          <w:highlight w:val="none"/>
        </w:rPr>
        <w:t>8万平方米以上；</w:t>
      </w:r>
    </w:p>
    <w:p>
      <w:pPr>
        <w:spacing w:line="360" w:lineRule="auto"/>
        <w:rPr>
          <w:rFonts w:hint="eastAsia" w:ascii="黑体" w:hAnsi="黑体" w:eastAsia="黑体" w:cs="黑体"/>
          <w:color w:val="auto"/>
          <w:sz w:val="24"/>
          <w:highlight w:val="none"/>
        </w:rPr>
      </w:pPr>
      <w:r>
        <w:rPr>
          <w:rFonts w:hint="eastAsia" w:ascii="黑体" w:hAnsi="黑体" w:eastAsia="黑体" w:cs="黑体"/>
          <w:color w:val="auto"/>
          <w:sz w:val="24"/>
          <w:highlight w:val="none"/>
        </w:rPr>
        <w:t xml:space="preserve">              2、非住宅类：大厦、工业厂房</w:t>
      </w:r>
      <w:r>
        <w:rPr>
          <w:rFonts w:hint="eastAsia" w:ascii="黑体" w:hAnsi="黑体" w:eastAsia="黑体" w:cs="黑体"/>
          <w:color w:val="auto"/>
          <w:sz w:val="24"/>
          <w:highlight w:val="none"/>
          <w:lang w:val="zh-CN"/>
        </w:rPr>
        <w:t>建筑面积</w:t>
      </w:r>
      <w:r>
        <w:rPr>
          <w:rFonts w:hint="eastAsia" w:ascii="黑体" w:hAnsi="黑体" w:eastAsia="黑体" w:cs="黑体"/>
          <w:color w:val="auto"/>
          <w:sz w:val="24"/>
          <w:highlight w:val="none"/>
        </w:rPr>
        <w:t>3万平方米以上。</w:t>
      </w:r>
    </w:p>
    <w:p>
      <w:pPr>
        <w:jc w:val="center"/>
        <w:rPr>
          <w:rFonts w:hint="eastAsia" w:ascii="仿宋_GB2312" w:eastAsia="仿宋_GB2312"/>
          <w:color w:val="auto"/>
          <w:sz w:val="24"/>
          <w:highlight w:val="none"/>
        </w:rPr>
      </w:pPr>
    </w:p>
    <w:p>
      <w:pPr>
        <w:jc w:val="center"/>
        <w:rPr>
          <w:rFonts w:hint="eastAsia" w:ascii="仿宋_GB2312" w:eastAsia="仿宋_GB2312"/>
          <w:color w:val="auto"/>
          <w:sz w:val="24"/>
          <w:highlight w:val="none"/>
        </w:rPr>
      </w:pPr>
    </w:p>
    <w:p>
      <w:pPr>
        <w:jc w:val="center"/>
        <w:rPr>
          <w:rFonts w:hint="eastAsia" w:ascii="黑体" w:eastAsia="黑体"/>
          <w:color w:val="auto"/>
          <w:sz w:val="44"/>
          <w:szCs w:val="44"/>
          <w:highlight w:val="none"/>
        </w:rPr>
      </w:pPr>
      <w:r>
        <w:rPr>
          <w:rFonts w:hint="eastAsia" w:ascii="黑体" w:eastAsia="黑体"/>
          <w:color w:val="auto"/>
          <w:sz w:val="44"/>
          <w:szCs w:val="44"/>
          <w:highlight w:val="none"/>
        </w:rPr>
        <w:t>承  诺  书</w:t>
      </w:r>
    </w:p>
    <w:p>
      <w:pPr>
        <w:rPr>
          <w:rFonts w:hint="eastAsia"/>
          <w:color w:val="auto"/>
          <w:sz w:val="28"/>
          <w:szCs w:val="28"/>
          <w:highlight w:val="none"/>
        </w:rPr>
      </w:pPr>
    </w:p>
    <w:p>
      <w:pPr>
        <w:spacing w:line="600" w:lineRule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武汉市物业管理协会：</w:t>
      </w:r>
    </w:p>
    <w:p>
      <w:pPr>
        <w:spacing w:line="600" w:lineRule="auto"/>
        <w:ind w:firstLine="57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本公司承诺所提供的示范项目参评材料真实有效。</w:t>
      </w:r>
    </w:p>
    <w:p>
      <w:pPr>
        <w:spacing w:line="600" w:lineRule="auto"/>
        <w:ind w:firstLine="57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spacing w:line="520" w:lineRule="exact"/>
        <w:ind w:firstLine="57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spacing w:line="520" w:lineRule="exact"/>
        <w:ind w:firstLine="57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ind w:firstLine="3925" w:firstLineChars="1402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申报企业（签章）：</w:t>
      </w:r>
    </w:p>
    <w:p>
      <w:pPr>
        <w:ind w:firstLine="57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ind w:firstLine="57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ind w:firstLine="3925" w:firstLineChars="1402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法人代表（签章）：</w:t>
      </w:r>
    </w:p>
    <w:p>
      <w:pPr>
        <w:ind w:firstLine="3925" w:firstLineChars="1402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ind w:firstLine="5325" w:firstLineChars="1902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    月     日</w:t>
      </w:r>
    </w:p>
    <w:p>
      <w:pPr>
        <w:jc w:val="center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br w:type="page"/>
      </w:r>
    </w:p>
    <w:p>
      <w:pPr>
        <w:jc w:val="center"/>
        <w:rPr>
          <w:rFonts w:hint="eastAsia" w:ascii="仿宋_GB2312" w:eastAsia="仿宋_GB2312"/>
          <w:color w:val="auto"/>
          <w:sz w:val="24"/>
          <w:highlight w:val="none"/>
        </w:rPr>
      </w:pPr>
    </w:p>
    <w:p>
      <w:pPr>
        <w:jc w:val="center"/>
        <w:rPr>
          <w:rFonts w:hint="eastAsia" w:ascii="仿宋_GB2312" w:eastAsia="仿宋_GB2312"/>
          <w:color w:val="auto"/>
          <w:sz w:val="24"/>
          <w:highlight w:val="none"/>
        </w:rPr>
      </w:pPr>
    </w:p>
    <w:p>
      <w:pPr>
        <w:jc w:val="center"/>
        <w:rPr>
          <w:rFonts w:hint="eastAsia" w:ascii="仿宋_GB2312" w:eastAsia="仿宋_GB2312"/>
          <w:color w:val="auto"/>
          <w:sz w:val="24"/>
          <w:highlight w:val="none"/>
        </w:rPr>
      </w:pPr>
    </w:p>
    <w:p>
      <w:pPr>
        <w:jc w:val="center"/>
        <w:rPr>
          <w:rFonts w:hint="eastAsia" w:ascii="仿宋_GB2312" w:eastAsia="仿宋_GB2312"/>
          <w:color w:val="auto"/>
          <w:sz w:val="24"/>
          <w:highlight w:val="none"/>
        </w:rPr>
      </w:pPr>
    </w:p>
    <w:p>
      <w:pPr>
        <w:jc w:val="center"/>
        <w:rPr>
          <w:rFonts w:hint="eastAsia" w:ascii="方正大标宋_GBK" w:hAnsi="黑体" w:eastAsia="方正大标宋_GBK" w:cs="黑体"/>
          <w:bCs/>
          <w:color w:val="auto"/>
          <w:sz w:val="40"/>
          <w:szCs w:val="40"/>
          <w:highlight w:val="none"/>
        </w:rPr>
      </w:pPr>
      <w:r>
        <w:rPr>
          <w:rFonts w:hint="eastAsia" w:ascii="方正大标宋_GBK" w:hAnsi="黑体" w:eastAsia="方正大标宋_GBK" w:cs="黑体"/>
          <w:bCs/>
          <w:color w:val="auto"/>
          <w:sz w:val="40"/>
          <w:szCs w:val="40"/>
          <w:highlight w:val="none"/>
          <w:u w:val="single"/>
        </w:rPr>
        <w:t xml:space="preserve">  </w:t>
      </w:r>
      <w:r>
        <w:rPr>
          <w:rFonts w:hint="eastAsia" w:ascii="方正大标宋_GBK" w:hAnsi="黑体" w:eastAsia="方正大标宋_GBK" w:cs="黑体"/>
          <w:bCs/>
          <w:color w:val="auto"/>
          <w:sz w:val="40"/>
          <w:szCs w:val="40"/>
          <w:highlight w:val="none"/>
          <w:u w:val="single"/>
          <w:lang w:val="en-US" w:eastAsia="zh-CN"/>
        </w:rPr>
        <w:t xml:space="preserve">    </w:t>
      </w:r>
      <w:r>
        <w:rPr>
          <w:rFonts w:hint="eastAsia" w:ascii="方正大标宋_GBK" w:hAnsi="黑体" w:eastAsia="方正大标宋_GBK" w:cs="黑体"/>
          <w:bCs/>
          <w:color w:val="auto"/>
          <w:sz w:val="40"/>
          <w:szCs w:val="40"/>
          <w:highlight w:val="none"/>
          <w:u w:val="single"/>
        </w:rPr>
        <w:t xml:space="preserve">        </w:t>
      </w:r>
      <w:r>
        <w:rPr>
          <w:rFonts w:hint="eastAsia" w:ascii="方正大标宋_GBK" w:hAnsi="黑体" w:eastAsia="方正大标宋_GBK" w:cs="黑体"/>
          <w:bCs/>
          <w:color w:val="auto"/>
          <w:sz w:val="40"/>
          <w:szCs w:val="40"/>
          <w:highlight w:val="none"/>
        </w:rPr>
        <w:t>申报武汉市物业管理示范项目</w:t>
      </w:r>
    </w:p>
    <w:p>
      <w:pPr>
        <w:jc w:val="center"/>
        <w:rPr>
          <w:rFonts w:hint="eastAsia" w:ascii="方正大标宋_GBK" w:eastAsia="方正大标宋_GBK"/>
          <w:color w:val="auto"/>
          <w:sz w:val="40"/>
          <w:szCs w:val="40"/>
          <w:highlight w:val="none"/>
        </w:rPr>
      </w:pPr>
      <w:r>
        <w:rPr>
          <w:rFonts w:hint="eastAsia" w:ascii="方正大标宋_GBK" w:hAnsi="黑体" w:eastAsia="方正大标宋_GBK" w:cs="黑体"/>
          <w:bCs/>
          <w:color w:val="auto"/>
          <w:sz w:val="40"/>
          <w:szCs w:val="40"/>
          <w:highlight w:val="none"/>
        </w:rPr>
        <w:t>征询意见证明</w:t>
      </w:r>
    </w:p>
    <w:p>
      <w:pPr>
        <w:rPr>
          <w:rFonts w:hint="eastAsia"/>
          <w:color w:val="auto"/>
          <w:sz w:val="32"/>
          <w:szCs w:val="32"/>
          <w:highlight w:val="none"/>
        </w:rPr>
      </w:pPr>
    </w:p>
    <w:p>
      <w:pPr>
        <w:spacing w:line="7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根据武汉市物业管理示范项目评定工作要求，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>（项目名称）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通过发放征询意见表的形式，向全体业主进行了参评意见征询，符合物业管理相关法规规定及表决程序，拟同意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>（项目名称）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申报武汉市物业管理示范项目的参评工作。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rPr>
          <w:rFonts w:eastAsia="仿宋_GB2312"/>
          <w:color w:val="auto"/>
          <w:sz w:val="32"/>
          <w:szCs w:val="32"/>
          <w:highlight w:val="none"/>
        </w:rPr>
      </w:pPr>
    </w:p>
    <w:p>
      <w:pPr>
        <w:rPr>
          <w:rFonts w:eastAsia="仿宋_GB2312"/>
          <w:color w:val="auto"/>
          <w:sz w:val="32"/>
          <w:szCs w:val="32"/>
          <w:highlight w:val="none"/>
        </w:rPr>
      </w:pPr>
    </w:p>
    <w:p>
      <w:pPr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eastAsia="仿宋_GB2312"/>
          <w:color w:val="auto"/>
          <w:sz w:val="32"/>
          <w:szCs w:val="32"/>
          <w:highlight w:val="none"/>
        </w:rPr>
        <w:t xml:space="preserve">                </w:t>
      </w:r>
    </w:p>
    <w:p>
      <w:pPr>
        <w:spacing w:line="720" w:lineRule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eastAsia="仿宋_GB2312"/>
          <w:color w:val="auto"/>
          <w:sz w:val="32"/>
          <w:szCs w:val="32"/>
          <w:highlight w:val="none"/>
        </w:rPr>
        <w:t xml:space="preserve">    </w:t>
      </w:r>
      <w:r>
        <w:rPr>
          <w:rFonts w:hint="eastAsia" w:eastAsia="仿宋_GB2312"/>
          <w:color w:val="auto"/>
          <w:sz w:val="32"/>
          <w:szCs w:val="32"/>
          <w:highlight w:val="none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>（项目名称）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业主委员会（或业主方）：                     </w:t>
      </w:r>
    </w:p>
    <w:p>
      <w:pPr>
        <w:spacing w:line="720" w:lineRule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                   （盖章）</w:t>
      </w:r>
    </w:p>
    <w:p>
      <w:pPr>
        <w:spacing w:line="720" w:lineRule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                            年    月    日</w:t>
      </w:r>
    </w:p>
    <w:p>
      <w:pPr>
        <w:spacing w:line="360" w:lineRule="auto"/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/>
    <w:p>
      <w:pPr>
        <w:spacing w:line="240" w:lineRule="auto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附件：</w:t>
      </w:r>
    </w:p>
    <w:p>
      <w:pPr>
        <w:spacing w:line="360" w:lineRule="auto"/>
        <w:jc w:val="center"/>
        <w:outlineLvl w:val="0"/>
        <w:rPr>
          <w:rFonts w:hint="eastAsia" w:asci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</w:rPr>
        <w:t>20</w:t>
      </w:r>
      <w:r>
        <w:rPr>
          <w:rFonts w:hint="eastAsia" w:ascii="黑体" w:eastAsia="黑体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黑体" w:eastAsia="黑体"/>
          <w:color w:val="auto"/>
          <w:sz w:val="32"/>
          <w:szCs w:val="32"/>
          <w:highlight w:val="none"/>
        </w:rPr>
        <w:t>年武汉市物业管理示范住宅小区标准及评分细则</w:t>
      </w:r>
    </w:p>
    <w:p>
      <w:pPr>
        <w:spacing w:line="360" w:lineRule="auto"/>
        <w:jc w:val="left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 xml:space="preserve">项目名称：                                               </w:t>
      </w:r>
    </w:p>
    <w:tbl>
      <w:tblPr>
        <w:tblStyle w:val="3"/>
        <w:tblW w:w="9244" w:type="dxa"/>
        <w:jc w:val="center"/>
        <w:tblCellSpacing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87"/>
        <w:gridCol w:w="3404"/>
        <w:gridCol w:w="675"/>
        <w:gridCol w:w="2756"/>
        <w:gridCol w:w="660"/>
        <w:gridCol w:w="615"/>
        <w:gridCol w:w="6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标准内容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规定分值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评分细则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自评分值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区评分值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市评分值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restar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一</w:t>
            </w:r>
          </w:p>
        </w:tc>
        <w:tc>
          <w:tcPr>
            <w:tcW w:w="340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基础管理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275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1、按照规划要求建设，住宅及配套设施投入使用，该项目须具备：（1）建设用地规划许可证；（2）建设工程规划许可证；（3）建设工程施工许可证及配套设施相关许可证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.0，不符合0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2、己办理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承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验手续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：与开发商（业主委员会）签订承接查验的协议、职能部门备案、承接查验记录及工程竣工验收备案证明书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符合1.0，不符合0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3、由一家物业管理企业实施统一专业化管理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，提供中标通知书和物业服务合同备案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符合1.0，不符合0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、建立维修基金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台账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，其管理、使用符合有关规定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已建立详细台账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2.0，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管理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使用不符合规定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未建立0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、房屋使用手册、装饰装修管理规定及业主公约等各项公众制度完善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完善2.0，不完善0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、业主委员会按规定程序成立，并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有相关职能部门备案或者批复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.0，不符合0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、业主委员会与物业管理企业签订物业管理合同，双方责权利明确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.0，不符合0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、物业管理企业制订争创规划和具体实施方案，并经业主委员会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书面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同意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符合1.0，不符合0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、小区物业管理建立健全各项管理制度、各岗位工作标准，并制定具体的落实措施和考核办法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制度、工作标准建立健全1.0，主要检查：物业管理服务工作程序、质量保证制度、收费管理制度、财务制度、岗位考核制度等每发现一处不完整规范扣0.2；未制定具体的落实措施扣0.5，未制定考核办法扣0.5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67" w:hRule="atLeast"/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该项目物业管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理人员持证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（含经济类中级以上、物业管理师、项目经理证）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上岗；员工统一着装，佩戴明显标志，工作规范，作风严谨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该项目物业负责人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无上岗证书扣1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；着装及标志不符合扣1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.0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11、物业管理企业应用现代化管理手段，提高管理效率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符合1.0，不符合0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、物业管理企业在收费、财务管理、会计核算、税收等方面执行有关规定；至少每半年公开一次物业管理服务费用收支情况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，每半年公示该项目公共收益情况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756" w:type="dxa"/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物业管理企业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执行有关规定0.5，未执行0；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已公示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0.5，未公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示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该项目的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房屋及其共用设施设备档案资料齐全，分类成册，管理完善，查阅方便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包括房屋总平面图、地下管网图，房屋数量、种类、用途分类统计成册，房屋及共用设施设备大中修记录，共用设施设备的设计安装图纸资料和台帐。每发现一项不齐全或不完善扣0.2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、建立住用户档案、房屋及其配套设施权属清册，查阅方便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每发现一处不符合扣0.2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、建立24小时值班制度，设立服务电话，接受业主和使用人对物业管理服务报修、求助、建议、问询、质疑、投诉等各类信息的收集和反馈，并及时处理，有回访制度和记录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符合2.0，值班制度及记录不符合扣0.5，未设服务电话扣0.5，发现一处处理不及时扣0.2，没有回访记录每次扣0.1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、每半年一次向住用户发放物业管理服务工作征求意见单，对合理的建议及时整改，满意率达85％以上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聘请第三方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专业机构进行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满意度调查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且满意率达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85%得3.0，未聘请物业管理第三方且满意率达85%得1.5，低于85%不得分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、建立并落实便民维修服务承诺制，零修急修及时率100％、返修率不高于1％，并有回访记录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建立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便民维修服务承诺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并落实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1.0；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及时率符合0.5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；回访记录完整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二</w:t>
            </w:r>
          </w:p>
        </w:tc>
        <w:tc>
          <w:tcPr>
            <w:tcW w:w="340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房屋管理与维修养护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14</w:t>
            </w:r>
          </w:p>
        </w:tc>
        <w:tc>
          <w:tcPr>
            <w:tcW w:w="275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1、主出入口设有小区平面示意图，主要路口设有路标，组团及幢、单元（门）、户门标号标志明显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符合1.0，无示意图扣0.3，无路标扣0.2，幢、单元、户号每缺一个扣0.1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2、无违反规划私搭乱建，无擅自改变房屋用途现象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符合2.0，每发现一处私搭乱建或擅自改变房屋使用用途扣1.0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3、房屋外观完好、整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，外墙面砖、涂料等装饰材料无脱落、无污迹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符合2.0，每发现一处不完好、不整洁、脱落、污损扣0.2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4、室外招牌、广告牌、霓虹灯按规定设置，保持整洁统一美观，无安全隐患或破损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符合2.0，未按规定设置0；按规定设置，但不整齐或有破损每处扣0.1， 有安全隐患每处扣0.5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5、封闭阳台统一有序，色调一致，不超出外墙面；除建筑设计有要求外，不得安装外廊及户外防盗网、晾晒架、遮阳蓬等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符合2.0，每发现一处不符合扣0.2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6、空调安装位置统一，冷凝水集中收集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符合2.0，每发现一处不符合扣0.5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7、房屋装饰装修符合规定，未发生危及房屋结构安全及拆改管线和损害他人利益的现象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符合2.0，每发现一处不符合扣0.5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8、防雷设施完好，每年对防雷设施进行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巡检养护和检测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符合1.0，无防雷检测扣0.4，其他发现一处不符合扣0.2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三</w:t>
            </w:r>
          </w:p>
        </w:tc>
        <w:tc>
          <w:tcPr>
            <w:tcW w:w="340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共用设施设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备、消防设备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管理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275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1、共用配套设施完好，无随意改变用途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符合1.0，每发现一处不符合扣0.5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共用设施设备运行、使用及维护按规定要求要有值守和记录，无事故隐患；专业技术人员和维护人员持证上岗严格遵守操作流程与保养规范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设施设备运行按规定记录0.5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无事故隐患0.5；遵守操作规程0.6，每发现一处不符合扣0.2；遵守保养规范0.4，每发现一处不符合扣0.1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持证上岗1.0，每发现一人未持证扣0.2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3、室外共用管线统一入地或入公共管道，无架空管线，无碍观瞻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符合2.0，发现一处不符合扣0.2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4、排水、排污管道通畅，无堵塞外溢现象；排污（排水）设备工作正常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符合2.0，发现一处堵塞或外溢扣0.5；排污泵定期巡检和维保，记录完整，每发现一处不符合扣0.5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5、道路通畅，路面平整；井盖无缺损、无丢失，路面井盖不影响车辆和行人通行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通畅、平整1.0，发现一处不通畅、不平整、积水扣0.2；发现井盖缺损或丢失扣0.6，路面井盖不影响通行0.4，发现一处不符合扣0.2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6、供水设备运行正常，设施完好、无渗漏、无污染、减压阀工作正常；二次生活用水有严格的保障措施，水质符合卫生标准；制定停水及事故处理方案、有演练、有记录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设备运行正常、设施完好、无渗漏、无污染，减压阀定期检查，工作正常0.6；保障措施严格0.4；有二次供水卫生许可证0.2；有水质化验单且水质符合卫生标准0.2；操作人员健康合格证齐全0.2；有应急处理方案0.2；有演练记录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7、制订供电系统管理措施并严格执行，记录完整；供电设备运行正常，配电室管理符合规定，高压柜、变压器按规定进行检测，专用工具齐全并在有效期内；路灯、楼道灯等公共照明设备完好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符合2.0，发现一处不符合扣0.5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8、电梯按约定时间运行，安全设施齐全，无安全事故；轿厢、井道保持清洁；轿厢内年检标识、制度张贴醒目；电梯机房通风、照明良好；制定出现故障后的应急处理方案、有演练、有记录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3.0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，发现一处不符合扣0.5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按工作标准规定时间排除故障，保证各弱电系统正常工作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监控系统等智能化设施设备运行正常，有记录并按规定期限保存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符合1.0，发现一处不符合扣0.5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，不符合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10、消防设备设施完好无损，可随时起用；消防通道畅通；每月对消防设施设备进行检查，有详细记录可追溯；制订消防应急方案并演练，有详细记录可追溯。微型消防站各类器材保持随时可使用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系统不满足功能需求的一票否决。按照消防有关制度的要求，符合2.0，发现一次消防部门整改通知扣1.0，每发现一处不符合扣 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四</w:t>
            </w:r>
          </w:p>
        </w:tc>
        <w:tc>
          <w:tcPr>
            <w:tcW w:w="3404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秩序、车辆管理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75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1、小区基本实行封闭式管理，严格落实政府对“疫情”防控的相关措施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符合1.0，不符合0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2、有专业秩序维护队伍，实行24小时值班及巡逻制度；秩序维护人员熟悉小区的环境，文明值勤，训练有素，言语规范，认真负责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秩序维护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队伍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无上岗证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扣1.0，其它每发现一处不符合扣0.2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3、危及人身安全处有明显标识和具体的防范措施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符合1.0，不符合0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、机动车停车场管理制度完善，管理责任明确；有车辆管理信息，车辆进出有记录；有防止车辆盗抢、损伤、冲卡处置方案，有演练记录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制度完善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1.0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，不完善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记录完整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0.5，不完整0；每发现一台车辆乱停乱放扣0.1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、非机动车车辆管理制度完善，按规定位置停放，管理有序；有针对电动车在单元门内外、楼道充电的管理方案并落实；非机动车无单元门内外、楼道停放、充电问题。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符合2.0，制度不全或不落实的扣1.0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符合2.0，制度不全或不落实的扣1.0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；每发现一处非机动车乱停乱放扣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0.2；如发现单元楼内非机动车充电或其他临时接线、飞线充电的扣2.0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五</w:t>
            </w:r>
          </w:p>
        </w:tc>
        <w:tc>
          <w:tcPr>
            <w:tcW w:w="3404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环境卫生管理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14</w:t>
            </w:r>
          </w:p>
        </w:tc>
        <w:tc>
          <w:tcPr>
            <w:tcW w:w="275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1、环卫设备完备，设有垃圾箱、果皮箱、垃圾中转站；上列设备位置固定、垃圾分类标识清晰、外观干净整洁无明显破损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.0，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未实行垃圾分类扣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1.0，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每发现一处不符合扣0.2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2、清洁卫生实行责任制，有专职的清洁人员和明确的责任范围，实行标准化保洁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未实行责任制的扣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，无专职清洁人员和责任范围的扣0.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，未实行标准化保洁的扣0.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3、垃圾日产日清，定期进行卫生消毒灭杀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每发现一处垃圾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（含建筑垃圾）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扣0.2，未达到垃圾日产日清的扣0.5，未定期进行卫生消毒灭杀扣0.5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如在疫情期间未消杀或无消杀记录的扣1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.0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4、房屋共用部位共用设施设备无蚁害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符合1.0，每发现一处不符合扣0.2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5、小区内道路等共用场地无纸屑、烟头等废弃物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符合2.0，每发现一处不符合扣0.2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6、房屋共用部位保持清洁，无乱贴、乱画，无擅自占用和堆放杂物现象；楼梯扶栏、天台、公共玻璃窗等保持洁净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符合2.0，每发现一处不符合扣0.2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7、商业网点管理有序，符合卫生标准；无乱设摊点、广告牌和乱贴、乱画现象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符合2.0，每发现一处不符合扣0.5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8、无违反规定饲养宠物、家禽、家畜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符合1.0，不符合0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9、排放油烟、噪音等符合国家环保标准，外墙无污染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符合1.0，每发现一处不符合扣0.2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restar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六</w:t>
            </w:r>
          </w:p>
        </w:tc>
        <w:tc>
          <w:tcPr>
            <w:tcW w:w="3404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绿化管理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275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、绿地无改变使用用途和破环、践踏、占用现象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.0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；有改变使用用途扣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1.0；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每发现一处不符合扣0.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不符合0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、花草树木长势良好，修剪整齐美观，无病虫害，无折损现象，无斑秃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长势不好扣1.0，其它每发现一处不符合扣0.2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、绿地无纸屑、烟头、石地等杂物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.0，每发现一处不符合扣0.2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七</w:t>
            </w:r>
          </w:p>
        </w:tc>
        <w:tc>
          <w:tcPr>
            <w:tcW w:w="3404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精神文明建设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275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l、坚持党建引领，成立党组织、开展志愿服务活动，建立三方联动机制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项目管理单位组建了党的基层组织并开展活动1.0；组建志愿者队伍并开展志愿服务活动0.5；建立了和社区居委会、业委会的三方联席会议及联动工作机制，且运行良好0.5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2、创造条件，积极配合、支持并参与社区文化建设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符合1.0，不符合0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八</w:t>
            </w:r>
          </w:p>
        </w:tc>
        <w:tc>
          <w:tcPr>
            <w:tcW w:w="3404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管理效益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275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l、物业管理服务费用收缴率98％以上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符合2.0，每降低1个百分点扣0.5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2、提供便民有偿服务，开展多种经营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符合2.0，不符合0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3、本小区物业管理经营状况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盈利1.0，持平0.5，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亏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损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3891" w:type="dxa"/>
            <w:gridSpan w:val="2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  <w:t>总计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2756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rPr>
          <w:rFonts w:hint="eastAsia" w:ascii="黑体" w:hAnsi="黑体" w:eastAsia="黑体" w:cs="黑体"/>
          <w:color w:val="auto"/>
        </w:rPr>
      </w:pPr>
    </w:p>
    <w:p>
      <w:pPr>
        <w:spacing w:line="360" w:lineRule="auto"/>
        <w:jc w:val="center"/>
        <w:outlineLvl w:val="0"/>
        <w:rPr>
          <w:rFonts w:hint="eastAsia" w:ascii="黑体" w:eastAsia="黑体"/>
          <w:color w:val="auto"/>
          <w:sz w:val="32"/>
          <w:szCs w:val="32"/>
          <w:highlight w:val="none"/>
        </w:rPr>
      </w:pPr>
    </w:p>
    <w:p>
      <w:pPr>
        <w:spacing w:line="360" w:lineRule="auto"/>
        <w:jc w:val="center"/>
        <w:outlineLvl w:val="0"/>
        <w:rPr>
          <w:rFonts w:hint="eastAsia" w:ascii="黑体" w:eastAsia="黑体"/>
          <w:color w:val="auto"/>
          <w:sz w:val="32"/>
          <w:szCs w:val="32"/>
          <w:highlight w:val="none"/>
        </w:rPr>
      </w:pPr>
    </w:p>
    <w:p>
      <w:pPr>
        <w:spacing w:line="360" w:lineRule="auto"/>
        <w:jc w:val="center"/>
        <w:outlineLvl w:val="0"/>
        <w:rPr>
          <w:rFonts w:hint="eastAsia" w:ascii="黑体" w:eastAsia="黑体"/>
          <w:color w:val="auto"/>
          <w:sz w:val="32"/>
          <w:szCs w:val="32"/>
          <w:highlight w:val="none"/>
        </w:rPr>
      </w:pPr>
    </w:p>
    <w:p>
      <w:pPr>
        <w:spacing w:line="360" w:lineRule="auto"/>
        <w:jc w:val="center"/>
        <w:outlineLvl w:val="0"/>
        <w:rPr>
          <w:rFonts w:hint="eastAsia" w:ascii="黑体" w:eastAsia="黑体"/>
          <w:color w:val="auto"/>
          <w:sz w:val="32"/>
          <w:szCs w:val="32"/>
          <w:highlight w:val="none"/>
        </w:rPr>
      </w:pPr>
    </w:p>
    <w:p>
      <w:pPr>
        <w:spacing w:line="360" w:lineRule="auto"/>
        <w:jc w:val="center"/>
        <w:outlineLvl w:val="0"/>
        <w:rPr>
          <w:rFonts w:hint="eastAsia" w:ascii="黑体" w:eastAsia="黑体"/>
          <w:color w:val="auto"/>
          <w:sz w:val="32"/>
          <w:szCs w:val="32"/>
          <w:highlight w:val="none"/>
        </w:rPr>
      </w:pPr>
    </w:p>
    <w:p>
      <w:pPr>
        <w:spacing w:line="360" w:lineRule="auto"/>
        <w:jc w:val="center"/>
        <w:outlineLvl w:val="0"/>
        <w:rPr>
          <w:rFonts w:hint="eastAsia" w:ascii="黑体" w:eastAsia="黑体"/>
          <w:color w:val="auto"/>
          <w:sz w:val="32"/>
          <w:szCs w:val="32"/>
          <w:highlight w:val="none"/>
        </w:rPr>
      </w:pPr>
    </w:p>
    <w:p>
      <w:pPr>
        <w:spacing w:line="360" w:lineRule="auto"/>
        <w:jc w:val="center"/>
        <w:outlineLvl w:val="0"/>
        <w:rPr>
          <w:rFonts w:hint="eastAsia" w:ascii="黑体" w:eastAsia="黑体"/>
          <w:color w:val="auto"/>
          <w:sz w:val="32"/>
          <w:szCs w:val="32"/>
          <w:highlight w:val="none"/>
        </w:rPr>
      </w:pPr>
    </w:p>
    <w:p>
      <w:pPr>
        <w:spacing w:line="360" w:lineRule="auto"/>
        <w:jc w:val="center"/>
        <w:outlineLvl w:val="0"/>
        <w:rPr>
          <w:rFonts w:hint="eastAsia" w:ascii="黑体" w:eastAsia="黑体"/>
          <w:color w:val="auto"/>
          <w:sz w:val="32"/>
          <w:szCs w:val="32"/>
          <w:highlight w:val="none"/>
        </w:rPr>
      </w:pPr>
    </w:p>
    <w:p>
      <w:pPr>
        <w:spacing w:line="360" w:lineRule="auto"/>
        <w:jc w:val="center"/>
        <w:outlineLvl w:val="0"/>
        <w:rPr>
          <w:rFonts w:hint="eastAsia" w:ascii="黑体" w:eastAsia="黑体"/>
          <w:color w:val="auto"/>
          <w:sz w:val="32"/>
          <w:szCs w:val="32"/>
          <w:highlight w:val="none"/>
        </w:rPr>
      </w:pPr>
    </w:p>
    <w:p>
      <w:pPr>
        <w:spacing w:line="360" w:lineRule="auto"/>
        <w:jc w:val="both"/>
        <w:outlineLvl w:val="0"/>
        <w:rPr>
          <w:rFonts w:hint="eastAsia" w:ascii="黑体" w:eastAsia="黑体"/>
          <w:color w:val="auto"/>
          <w:sz w:val="32"/>
          <w:szCs w:val="32"/>
          <w:highlight w:val="none"/>
        </w:rPr>
      </w:pPr>
    </w:p>
    <w:p>
      <w:pPr>
        <w:spacing w:line="360" w:lineRule="auto"/>
        <w:jc w:val="both"/>
        <w:outlineLvl w:val="0"/>
        <w:rPr>
          <w:rFonts w:hint="eastAsia" w:ascii="黑体" w:eastAsia="黑体"/>
          <w:color w:val="auto"/>
          <w:sz w:val="32"/>
          <w:szCs w:val="32"/>
          <w:highlight w:val="none"/>
        </w:rPr>
      </w:pPr>
    </w:p>
    <w:p>
      <w:pPr>
        <w:spacing w:line="360" w:lineRule="auto"/>
        <w:jc w:val="center"/>
        <w:outlineLvl w:val="0"/>
        <w:rPr>
          <w:rFonts w:hint="eastAsia" w:ascii="黑体" w:eastAsia="黑体"/>
          <w:color w:val="auto"/>
          <w:sz w:val="32"/>
          <w:szCs w:val="32"/>
          <w:highlight w:val="none"/>
        </w:rPr>
      </w:pPr>
    </w:p>
    <w:p>
      <w:pPr>
        <w:spacing w:line="360" w:lineRule="auto"/>
        <w:jc w:val="center"/>
        <w:outlineLvl w:val="0"/>
        <w:rPr>
          <w:rFonts w:hint="eastAsia" w:asci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</w:rPr>
        <w:t>20</w:t>
      </w:r>
      <w:r>
        <w:rPr>
          <w:rFonts w:hint="eastAsia" w:ascii="黑体" w:eastAsia="黑体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黑体" w:eastAsia="黑体"/>
          <w:color w:val="auto"/>
          <w:sz w:val="32"/>
          <w:szCs w:val="32"/>
          <w:highlight w:val="none"/>
        </w:rPr>
        <w:t>年武汉市物业管理示范住宅小区标准及评分细则</w:t>
      </w:r>
    </w:p>
    <w:p>
      <w:pPr>
        <w:spacing w:line="360" w:lineRule="auto"/>
        <w:jc w:val="center"/>
        <w:rPr>
          <w:rFonts w:hint="eastAsia"/>
          <w:b/>
          <w:bCs/>
          <w:color w:val="auto"/>
          <w:sz w:val="24"/>
          <w:highlight w:val="none"/>
        </w:rPr>
      </w:pPr>
      <w:r>
        <w:rPr>
          <w:rFonts w:hint="eastAsia"/>
          <w:b/>
          <w:bCs/>
          <w:color w:val="auto"/>
          <w:sz w:val="24"/>
          <w:highlight w:val="none"/>
        </w:rPr>
        <w:t>（适用前期物业管理项目）</w:t>
      </w:r>
    </w:p>
    <w:p>
      <w:pPr>
        <w:spacing w:line="360" w:lineRule="auto"/>
        <w:jc w:val="left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 xml:space="preserve">项目名称：                                               </w:t>
      </w:r>
    </w:p>
    <w:tbl>
      <w:tblPr>
        <w:tblStyle w:val="3"/>
        <w:tblW w:w="9244" w:type="dxa"/>
        <w:jc w:val="center"/>
        <w:tblCellSpacing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87"/>
        <w:gridCol w:w="3400"/>
        <w:gridCol w:w="679"/>
        <w:gridCol w:w="2756"/>
        <w:gridCol w:w="660"/>
        <w:gridCol w:w="615"/>
        <w:gridCol w:w="6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标准内容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规定分值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评分细则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自评分值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区评分值</w:t>
            </w:r>
          </w:p>
        </w:tc>
        <w:tc>
          <w:tcPr>
            <w:tcW w:w="647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highlight w:val="none"/>
              </w:rPr>
              <w:t>市评分值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restar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一</w:t>
            </w:r>
          </w:p>
        </w:tc>
        <w:tc>
          <w:tcPr>
            <w:tcW w:w="340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基础管理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275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1、按照规划要求建设，住宅及配套设施投入使用，该项目须具备：（1）建设用地规划许可证；（2）建设工程规划许可证；（3）建设工程施工许可证及配套设施相关证件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.0，不符合0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2、己办理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承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验手续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：与开发商签订承接查验的协议、职能部门备案、承接查验记录及工程竣工验收备案证明书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符合1.0，不符合0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3、由一家物业管理企业实施统一专业化管理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，提供中标通知书和物业服务合同备案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符合1.0，不符合0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4、建设单位在销售房屋前，与选聘的物业管理企业签订物业管理合同，双方责权利明确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符合1.0，不符合0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5、在房屋销售合同签订时，购房人与物业管理企业签订前期物业管理服务协议，双方责权利明确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.0，不符合0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6、建立维修基金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台账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，其管理、使用符合有关规定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已建立详细台账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1.0，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管理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使用不符合规定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未建立0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7、房屋使用手册、装饰装修管理规定及业主公约等各项公众制度完善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完善2.0，不完善0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8、物业管理企业制订争创规划和具体实施方案，并经建设单位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书面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同意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符合1.0，不符合0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9、小区物业管理建立健全各项管理制度、各岗位工作标准，并制定具体的落实措施和考核办法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制度、工作标准建立健全1.0，主要检查：物业管理服务工作程序、质量保证制度、收费管理制度、财务制度、岗位考核制度等每发现一处不完整规范扣0.2；未制定具体的落实措施扣0.5，未制定考核办法扣0.5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该项目物业管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理人员持证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（含经济类中级以上、物业管理师、项目经理证）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上岗；员工统一着装，佩戴明显标志，工作规范，作风严谨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该项目物业负责人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无上岗证书扣1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；着装及标志不符合扣1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.0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11、物业管理企业应用现代化管理手段，提高管理效率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符合1.0，不符合0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、物业管理企业在收费、财务管理、会计核算、税收等方面执行有关规定；至少每半年公开一次物业管理服务费用收支情况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，每半年公示该项目公共收益情况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756" w:type="dxa"/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物业管理企业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执行有关规定0.5，未执行0；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已公示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0.5，未公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示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该项目的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房屋及其共用设施设备档案资料齐全，分类成册，管理完善，查阅方便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包括房屋总平面图、地下管网图，房屋数量、种类、用途分类统计成册，房屋及共用设施设备大中修记录，共用设施设备的设计安装图纸资料和台帐。每发现一项不齐全或不完善扣0.2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14、建立住用户档案、房屋及其配套设施权属清册，查阅方便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每发现一处不符合扣0.2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15、建立24小时值班制度，设立服务电话，接受业主和使用人对物业管理服务报修、求助、建议、问询、质疑、投诉等各类信息的收集和反馈，并及时处理，有回访制度和记录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符合2.0，值班制度及记录不符合扣0.5，未设服务电话扣0.5，发现一处处理不及时扣0.2，没有回访记录每次扣0.1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16、每半年一次向住用户发放物业管理服务工作征求意见单，对合理的建议及时整改，满意率达85％以上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聘请第三方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专业机构进行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满意度调查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且满意率达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85%得2.0，未聘请物业管理第三方且满意率达85%得1.0，低于85%不得分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17、建立并落实便民维修服务承诺制，零修急修及时率100％、返修率不高于1％，并有回访记录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建立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便民维修服务承诺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并落实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1.0；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及时率符合0.5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；回访记录完整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restart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二</w:t>
            </w:r>
          </w:p>
        </w:tc>
        <w:tc>
          <w:tcPr>
            <w:tcW w:w="340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房屋管理与维修养护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14</w:t>
            </w:r>
          </w:p>
        </w:tc>
        <w:tc>
          <w:tcPr>
            <w:tcW w:w="275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1、主出入口设有小区平面示意图，主要路口设有路标，组团及幢、单元（门）、户门标号标志明显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符合1.0，无示意图扣0.3，无路标扣0.2，幢、单元、户号每缺一个扣0.1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2、无违反规划私搭乱建，无擅自改变房屋用途现象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符合2.0，每发现一处私搭乱建或擅自改变房屋使用用途扣1.0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3、房屋外观完好、整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，外墙面砖、涂料等装饰材料无脱落、无污迹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符合2.0，每发现一处不完好、不整洁、脱落、污损扣0.2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4、室外招牌、广告牌、霓虹灯按规定设置，保持整洁统一美观，无安全隐患或破损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符合2.0，未按规定设置0；按规定设置，但不整齐或有破损每处扣0.1，有安全隐患每处扣0.5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5、封闭阳台统一有序，色调一致，不超出外墙面；除建筑设计有要求外，不得安装外廊及户外防盗网、晾晒架、遮阳蓬等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符合2.0，每发现一处不符合扣0.2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6、空调安装位置统一，冷凝水集中收集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符合2.0，每发现一处不符合扣0.5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7、房屋装饰装修符合规定，未发生危及房屋结构安全及拆改管线和损害他人利益的现象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符合2.0，每发现一处不符合扣0.5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8、防雷设施完好，每年对防雷设施进行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巡检养护和检测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符合1.0，无防雷检测扣0.4，其他发现一处不符合扣0.2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restart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三</w:t>
            </w:r>
          </w:p>
        </w:tc>
        <w:tc>
          <w:tcPr>
            <w:tcW w:w="340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共用设施设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备、消防设备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管理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275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1、共用配套设施完好，无随意改变用途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1.0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，每发现一处不符合扣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共用设施设备运行、使用及维护按规定要求要有值守和记录，无事故隐患；专业技术人员和维护人员持证上岗严格遵守操作流程与保养规范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设施设备运行按规定记录0.5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无事故隐患0.5；遵守操作规程0.6，每发现一处不符合扣0.2；遵守保养规范0.4，每发现一处不符合扣0.1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持证上岗1.0，每发现一人未持证扣0.2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3、室外共用管线统一入地或入公共管道，无架空管线，无碍观瞻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符合2.0，发现一处不符合扣0.2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4、排水、排污管道通畅，无堵塞外溢现象；排污（排水）设备工作正常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符合2.0，发现一处堵塞或外溢扣0.5；排污泵定期巡检和维保，记录完整，每发现一处不符合扣0.5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5、道路通畅，路面平整；井盖无缺损、无丢失，路面井盖不影响车辆和行人通行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通畅、平整1.0，发现一处不通畅、不平整、积水扣0.2；发现井盖缺损或丢失扣0.6，路面井盖不影响通行0.4，发现一处不符合扣0.2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6、供水设备运行正常，设施完好、无渗漏、无污染、减压阀工作正常；二次生活用水有严格的保障措施，水质符合卫生标准；制定停水及事故处理方案、有演练、有记录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设备运行正常、设施完好、无渗漏、无污染，减压阀定期检查，工作正常0.6；保障措施严格0.4；有二次供水卫生许可证0.2；有水质化验单且水质符合卫生标准0.2；操作人员健康合格证齐全0.2；有应急处理方案0.2；有演练记录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7、制订供电系统管理措施并严格执行，记录完整；供电设备运行正常，配电室管理符合规定，高压柜、变压器按规定进行检测，专用工具齐全并在有效期内；路灯、楼道灯等公共照明设备完好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符合2.0，发现一处不符合扣0.5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8、电梯按约定时间运行，安全设施齐全，无安全事故；轿厢、井道保持清洁；轿厢内年检标识、制度张贴醒目；电梯机房通风、照明良好；制定出现故障后的应急处理方案、有演练、有记录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3.0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，发现一处不符合扣0.5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按工作标准规定时间排除故障，保证各弱电系统正常工作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监控系统等智能化设施设备运行正常，有记录并按规定期限保存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符合1.0，发现一处不符合扣0.5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，不符合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10、消防设备设施完好无损，可随时起用；消防通道畅通；每月对消防设施设备进行检查，有详细记录可追溯；制订消防应急方案并演练，有详细记录可追溯，微型消防站各类器材保持随时可使用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系统不满足功能需求的一票否决。按照消防有关制度的要求，符合2.0，发现一次消防部门整改通知扣1.0，每发现一处不符合扣 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restar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四</w:t>
            </w:r>
          </w:p>
        </w:tc>
        <w:tc>
          <w:tcPr>
            <w:tcW w:w="340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秩序、车辆管理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75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1、小区基本实行封闭式管理，严格落实政府对“疫情”防控的相关措施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符合1.0，不符合0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2、有专业秩序维护队伍，实行24小时值班及巡逻制度；秩序维护人员熟悉小区的环境，文明值勤，训练有素，言语规范，认真负责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秩序维护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队伍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无上岗证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扣1.0，其它每发现一处不符合扣0.2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3、危及人身安全处有明显标识和具体的防范措施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符合2.0，每发现一处不符合扣1.0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、机动车停车场管理制度完善，管理责任明确；有车辆管理信息，车辆进出有记录；有防止车辆盗抢、损伤、冲卡处置方案，有演练记录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制度完善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1.0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，不完善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记录完整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0.5，不完整0；每发现一台车辆乱停乱放扣0.1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、非机动车车辆管理制度完善，按规定位置停放，管理有序；有针对电动车在单元门内外、楼道充电的管理方案并落实；非机动车无单元门内外、楼道停放、充电问题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符合2.0，制度不全或不落实的扣1.0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；每发现一处非机动车乱停乱放扣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0.2；如发现单元楼内非机动车充电或其他临时接线、飞线充电的扣2.0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restar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五</w:t>
            </w:r>
          </w:p>
        </w:tc>
        <w:tc>
          <w:tcPr>
            <w:tcW w:w="340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环境卫生管理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275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1、环卫设备完备，设有垃圾箱、果皮箱、垃圾中转站；上列设备位置固定、垃圾分类标识清晰、外观干净整洁无明显破损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.0，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未实行垃圾分类扣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1.0，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每发现一处不符合扣0.2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2、清洁卫生实行责任制，有专职的清洁人员和明确的责任范围，实行标准化保洁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未实行责任制的扣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，无专职清洁人员和责任范围的扣0.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，未实行标准化保洁的扣0.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3、垃圾日产日清，定期进行卫生消毒灭杀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每发现一处垃圾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（含建筑垃圾）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扣0.2，未达到垃圾日产日清的扣0.5，未定期进行卫生消毒灭杀扣0.5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如在疫情期间未消杀或无消杀记录的扣1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.0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4、房屋共用部位共用设施设备无蚁害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符合1.0，每发现一处不符合扣0.2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5、小区内道路等共用场地无纸屑、烟头等废弃物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符合2.0，每发现一处不符合扣0.2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6、房屋共用部位保持清洁，无乱贴、乱画，无擅自占用和堆放杂物现象；楼梯扶栏、天台、公共玻璃窗等保持洁净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符合2.0，每发现一处不符合扣0.2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7、商业网点管理有序，符合卫生标准；无乱设摊点、广告牌和乱贴、乱画现象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符合2.0，每发现一处不符合扣0.5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8、无违反规定饲养宠物、家禽、家畜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符合1.0，不符合0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9、排放油烟、噪音等符合国家环保标准，外墙无污染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符合2.0，每发现一处不符合扣1.0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restar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六</w:t>
            </w:r>
          </w:p>
        </w:tc>
        <w:tc>
          <w:tcPr>
            <w:tcW w:w="340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绿化管理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275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、绿地无改变使用用途和破环、践踏、占用现象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.0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；有改变使用用途扣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1.0；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每发现一处不符合扣0.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不符合0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、花草树木长势良好，修剪整齐美观，无病虫害，无折损现象，无斑秃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长势不好扣1.0，其它每发现一处不符合扣0.2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、绿地无纸屑、烟头、石地等杂物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.0，每发现一处不符合扣0.2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restar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七</w:t>
            </w:r>
          </w:p>
        </w:tc>
        <w:tc>
          <w:tcPr>
            <w:tcW w:w="340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精神文明建设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275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l、坚持党建引领，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成立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党组织、开展志愿服务活动，建立三方联动机制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项目管理单位组建了党的基层组织并开展活动1.0；组建志愿者队伍并开展志愿服务活动0.5；建立了和社区居委会、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业主代表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的三方联席会议及联动工作机制，且运行良好0.5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2、创造条件，积极配合、支持并参与社区文化建设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符合1.0，不符合0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restart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八</w:t>
            </w:r>
          </w:p>
        </w:tc>
        <w:tc>
          <w:tcPr>
            <w:tcW w:w="340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管理效益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275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l、物业管理服务费用收缴率98％以上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符合2.0，每降低1个百分点扣0.5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2、提供便民有偿服务，开展多种经营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符合2.0，不符合0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8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3、本小区物业管理经营状况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盈利1.0，持平0.5，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亏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损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0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3887" w:type="dxa"/>
            <w:gridSpan w:val="2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总计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2756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7" w:type="dxa"/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rPr>
          <w:color w:val="auto"/>
        </w:rPr>
      </w:pPr>
    </w:p>
    <w:p>
      <w:pPr>
        <w:spacing w:line="360" w:lineRule="auto"/>
        <w:jc w:val="center"/>
        <w:outlineLvl w:val="0"/>
        <w:rPr>
          <w:rFonts w:ascii="黑体" w:eastAsia="黑体" w:cs="黑体"/>
          <w:color w:val="auto"/>
          <w:sz w:val="32"/>
          <w:szCs w:val="32"/>
        </w:rPr>
      </w:pPr>
      <w:bookmarkStart w:id="0" w:name="_Toc8528"/>
    </w:p>
    <w:p>
      <w:pPr>
        <w:spacing w:line="360" w:lineRule="auto"/>
        <w:jc w:val="center"/>
        <w:outlineLvl w:val="0"/>
        <w:rPr>
          <w:rFonts w:ascii="黑体" w:eastAsia="黑体" w:cs="黑体"/>
          <w:color w:val="auto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ascii="黑体" w:eastAsia="黑体" w:cs="黑体"/>
          <w:color w:val="auto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ascii="黑体" w:eastAsia="黑体" w:cs="黑体"/>
          <w:color w:val="auto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ascii="黑体" w:eastAsia="黑体" w:cs="黑体"/>
          <w:color w:val="auto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ascii="黑体" w:eastAsia="黑体" w:cs="黑体"/>
          <w:color w:val="auto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ascii="黑体" w:eastAsia="黑体" w:cs="黑体"/>
          <w:color w:val="auto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ascii="黑体" w:eastAsia="黑体" w:cs="黑体"/>
          <w:color w:val="auto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ascii="黑体" w:eastAsia="黑体" w:cs="黑体"/>
          <w:color w:val="auto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ascii="黑体" w:eastAsia="黑体" w:cs="黑体"/>
          <w:color w:val="auto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ascii="黑体" w:eastAsia="黑体" w:cs="黑体"/>
          <w:color w:val="auto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ascii="黑体" w:eastAsia="黑体" w:cs="黑体"/>
          <w:color w:val="auto"/>
          <w:sz w:val="32"/>
          <w:szCs w:val="32"/>
        </w:rPr>
      </w:pPr>
    </w:p>
    <w:p>
      <w:pPr>
        <w:spacing w:line="360" w:lineRule="auto"/>
        <w:jc w:val="both"/>
        <w:outlineLvl w:val="0"/>
        <w:rPr>
          <w:rFonts w:ascii="黑体" w:eastAsia="黑体" w:cs="黑体"/>
          <w:color w:val="auto"/>
          <w:sz w:val="32"/>
          <w:szCs w:val="32"/>
        </w:rPr>
      </w:pPr>
    </w:p>
    <w:p>
      <w:pPr>
        <w:spacing w:line="360" w:lineRule="auto"/>
        <w:jc w:val="both"/>
        <w:outlineLvl w:val="0"/>
        <w:rPr>
          <w:rFonts w:ascii="黑体" w:eastAsia="黑体" w:cs="黑体"/>
          <w:color w:val="auto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ascii="黑体" w:eastAsia="黑体" w:cs="黑体"/>
          <w:color w:val="auto"/>
          <w:sz w:val="32"/>
          <w:szCs w:val="32"/>
        </w:rPr>
      </w:pPr>
    </w:p>
    <w:p>
      <w:pPr>
        <w:spacing w:line="360" w:lineRule="auto"/>
        <w:jc w:val="center"/>
        <w:outlineLvl w:val="0"/>
        <w:rPr>
          <w:rFonts w:ascii="黑体" w:eastAsia="黑体"/>
          <w:color w:val="auto"/>
          <w:sz w:val="32"/>
          <w:szCs w:val="32"/>
        </w:rPr>
      </w:pPr>
      <w:r>
        <w:rPr>
          <w:rFonts w:ascii="黑体" w:eastAsia="黑体" w:cs="黑体"/>
          <w:color w:val="auto"/>
          <w:sz w:val="32"/>
          <w:szCs w:val="32"/>
        </w:rPr>
        <w:t>202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eastAsia="黑体" w:cs="黑体"/>
          <w:color w:val="auto"/>
          <w:sz w:val="32"/>
          <w:szCs w:val="32"/>
        </w:rPr>
        <w:t>年武汉市物业管理示范大厦标准及评分细则</w:t>
      </w:r>
      <w:bookmarkEnd w:id="0"/>
    </w:p>
    <w:p>
      <w:pPr>
        <w:spacing w:line="360" w:lineRule="auto"/>
        <w:jc w:val="left"/>
        <w:rPr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</w:rPr>
        <w:t>项目名称：</w:t>
      </w:r>
      <w:r>
        <w:rPr>
          <w:color w:val="auto"/>
          <w:sz w:val="24"/>
          <w:szCs w:val="24"/>
        </w:rPr>
        <w:t xml:space="preserve">                                                 </w:t>
      </w:r>
    </w:p>
    <w:tbl>
      <w:tblPr>
        <w:tblStyle w:val="3"/>
        <w:tblW w:w="9197" w:type="dxa"/>
        <w:jc w:val="center"/>
        <w:tblCellSpacing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53"/>
        <w:gridCol w:w="3543"/>
        <w:gridCol w:w="687"/>
        <w:gridCol w:w="2651"/>
        <w:gridCol w:w="587"/>
        <w:gridCol w:w="576"/>
        <w:gridCol w:w="7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38" w:hRule="atLeast"/>
          <w:tblCellSpacing w:w="0" w:type="dxa"/>
          <w:jc w:val="center"/>
        </w:trPr>
        <w:tc>
          <w:tcPr>
            <w:tcW w:w="453" w:type="dxa"/>
            <w:tcBorders>
              <w:top w:val="single" w:color="auto" w:sz="12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3543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标准内容</w:t>
            </w:r>
          </w:p>
        </w:tc>
        <w:tc>
          <w:tcPr>
            <w:tcW w:w="68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规定分值</w:t>
            </w:r>
          </w:p>
        </w:tc>
        <w:tc>
          <w:tcPr>
            <w:tcW w:w="2651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评分细则</w:t>
            </w:r>
          </w:p>
        </w:tc>
        <w:tc>
          <w:tcPr>
            <w:tcW w:w="58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自评分值</w:t>
            </w:r>
          </w:p>
        </w:tc>
        <w:tc>
          <w:tcPr>
            <w:tcW w:w="57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区评分值</w:t>
            </w:r>
          </w:p>
        </w:tc>
        <w:tc>
          <w:tcPr>
            <w:tcW w:w="70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市评分值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restart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一</w:t>
            </w:r>
          </w:p>
        </w:tc>
        <w:tc>
          <w:tcPr>
            <w:tcW w:w="354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基础管理</w:t>
            </w:r>
          </w:p>
        </w:tc>
        <w:tc>
          <w:tcPr>
            <w:tcW w:w="687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19</w:t>
            </w:r>
          </w:p>
        </w:tc>
        <w:tc>
          <w:tcPr>
            <w:tcW w:w="2651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58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99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1、按照规划要求建设，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房屋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及配套设施投入使用，该项目须具备：（1）建设用地规划许可证；（2）建设工程规划许可证；（3）建设工程施工许可证及配套设施相关许可证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5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2、己办理承接查验手续：有承接查验记录及工程竣工验收备案证明书（无需协议备案）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8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3、由一家物业管理企业实施统一专业化管理，提供中标通知书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42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4、大厦业主在租售大厦前，与选聘的物业管理企业签订物业管理合同，双方责权利明确，在物业合同中对于大厦的大中小维修有相关约定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签订物业管理合同0.5，有明确的相关约定0.5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42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5、在房屋销售（租赁）合同签订时，大厦业主方（租赁）与物业管理企业签订物业管理服务协议，双方责权利明确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42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6、房屋使用手册、装饰装修管理规定及业主与使用人公约等各项公众制度完善，相关制度、规定发放至业主、租户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完善1.0，不完善0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5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7、物业管理企业制订争创规划和具体实施方案，并经大厦业主方会书面同意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69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8、大厦物业管理建立健全各项管理制度、各岗位工作标准，并制定具体的落实措施和考核办法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制度、工作标准建立健全1.0，主要检查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物业管理服务工作程序、质量保证制度、收费管理制度、财务制度、岗位考核制度等每发现一处不完整规范扣0.2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未制定具体的落实措施扣0.5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未制定考核办法扣0.5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55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9、该项目物业管理人员持证（含经济类中级以上、物业管理师、项目经理证）上岗；员工统一着装，佩戴明显标志，工作规范，作风严谨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该项目物业负责人无上岗证书扣1.0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8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10、物业管理企业应用现代化管理手段，提高管理效率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42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11、物业管理企业在收费、财务管理、会计核算、税收等方面执行有关规定；并按合同约定公示物业管理服务费用收支情况</w:t>
            </w:r>
          </w:p>
        </w:tc>
        <w:tc>
          <w:tcPr>
            <w:tcW w:w="687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物业管理企业执行有关规定0.5，未执行0；已公示0.5，未公示0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2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12、该项目的房屋及其共用设施设备档案资料齐全，分类成册，管理完善，查阅方便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包括房屋总平面图，地下管网图，房屋数量、种类、用途分类统计成册，房屋及共用设施设备大中修记录，共用设施设备的设计安装图纸资料和台帐。每发现一项不齐全或不完善扣0.1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8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13、建立业主（使用者）档案、房屋及其配套设施权属清册，查阅方便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每发现一处不符合扣0.2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5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14、建立24小时值班制度和值班记录，设立服务电话，接受业主和使用人对物业管理服务报修、求助、建议、问询、质疑、投诉等各类信息的收集和反馈，并及时处理，有回访制度和记录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符合2.0，没有值班制度和值班记录的扣0.5，未设服务电话扣0.5，发现一处处理不及时扣0.2，没有回访记录每次扣0.1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5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15、每半年一次向住用户发放物业管理服务工作征求意见单，对合理的建议及时整改，满意率达90％以上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每半年进行满意度调查，满意度达90%得1.0，低于90%不得分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2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16、建立并落实维修服务承诺制；零修急修及时率100％、返修率不高于1％，并有回访记录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建立并落实1.0，建立但未落实扣0.5，未建立扣1.0；及时率符合0.5，每降低1个百分点扣0.1；返修率符合0.3，不符合0；回访记录完整0.2，记录不完整或无回访记录0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restart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二</w:t>
            </w:r>
          </w:p>
        </w:tc>
        <w:tc>
          <w:tcPr>
            <w:tcW w:w="354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房屋管理与维修养护</w:t>
            </w:r>
          </w:p>
        </w:tc>
        <w:tc>
          <w:tcPr>
            <w:tcW w:w="687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9</w:t>
            </w:r>
          </w:p>
        </w:tc>
        <w:tc>
          <w:tcPr>
            <w:tcW w:w="2651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58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42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1、大厦、栋号、楼层、房号标志明显，大堂内布置合理并设立引路方向平面图，驻大厦各单位名录标识在大堂内显著位置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符合1.0，无示意图或发现一处标志不清或没有标志扣0.2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8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2、无违反规划私搭乱建，无擅自改变房屋用途现象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符合1.0，发现一处私搭乱建或擅自改变房屋用途均扣0.5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69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3、大厦外观完好、整洁；外墙是建材贴面的，无脱落；是玻璃幕墙的，清洁明亮、无破损；是涂料的，无脱落、无污渍；无纸张乱贴、乱涂、乱画和乱悬挂现象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符合3.0，大厦外墙是建材贴面的每发现一处脱落扣0.2，是玻璃幕墙的每发现一处破损或不洁扣0.2；是涂料的每发现一处褪色不一致扣0.1；每发现一处纸张乱贴、乱涂、乱画和乱悬挂扣0.2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42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4、室外招牌、广告牌、霓虹灯按规定设置，保持整洁统一美观，无安全隐患或破损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符合1.0，未按规定设置0；按规定设置，但不整齐或有破损每处扣0.l，有安全隐患每处扣0.5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8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5、空调安装位置统一，冷凝水集中收集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符合1.0，发现一处不符合扣0.2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5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6、房屋装饰装修符合规定，未发生危及房屋结构安全及拆改管线和损害他人利益的现象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符合1.0，每发现一处不符合扣0.5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5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7、防雷设施完好，每年对防雷设施进行巡检养护和检测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符合1.0，无防雷检测扣0.4，其他发现一处不符合扣0.2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restart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三</w:t>
            </w:r>
          </w:p>
        </w:tc>
        <w:tc>
          <w:tcPr>
            <w:tcW w:w="354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共用设备管理</w:t>
            </w:r>
          </w:p>
        </w:tc>
        <w:tc>
          <w:tcPr>
            <w:tcW w:w="687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38</w:t>
            </w:r>
          </w:p>
        </w:tc>
        <w:tc>
          <w:tcPr>
            <w:tcW w:w="2651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58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（一）综合要求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5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　</w:t>
            </w:r>
          </w:p>
        </w:tc>
        <w:tc>
          <w:tcPr>
            <w:tcW w:w="587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42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1、共用设施设备运行、使用及维护按规定要求要有值守和记录，无事故隐患，专业技术人员和维护人员持证上岗严格遵守操作流程与保养规范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符合1.0，发现一处不符合扣0.2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5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2、设备及机房环境整洁，封堵完好，无杂物、灰尘，无鼠、虫害发生，机房环境符合设备要求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符合1.0，发现一处不符合扣0.2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8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3、配备所需专业技术人员持证上岗，严格执行操作规程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2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符合2.0，不符合0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8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4、设备良好，运行正常，一年内无重大管理责任事故；设备设施可靠接地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符合1.0，不符合0；每发现一处接地不符合扣0.2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（二）供电系统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587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8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1、保证正常供电，限电、停电有明确的审批权限并按规定时间通知住用户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587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42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2、制订临时用电管理措施与停电应急处理措施并严格执行；高压柜、变压器按规定进行检测，各项操作工具齐全，年检合格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符合1.0，临时用电措施或停电应急措施不符合均扣0.5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34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3.备用应急电源可随时起用，维保记录完整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符合1.0，记录不完整扣0.5，不符合0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（三）弱电系统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　</w:t>
            </w:r>
          </w:p>
        </w:tc>
        <w:tc>
          <w:tcPr>
            <w:tcW w:w="587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8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1、按工作标准规定时间排除故障，保证各弱电系统正常工作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符合1.0，发现一处不符合扣0.5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8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2、监控系统等智能化设施设备运行正常，有记录并按规定期限保存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.0，发现一处不符合扣0.5，不符合0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（四）消防系统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8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　</w:t>
            </w:r>
          </w:p>
        </w:tc>
        <w:tc>
          <w:tcPr>
            <w:tcW w:w="587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99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1、消防控制中心值守人员持证上岗 ，24 小时值班，消防系统设施设备齐全、完好无损，可随时起用，烟感等探测器按规定清洗检测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</w:t>
            </w:r>
          </w:p>
        </w:tc>
        <w:tc>
          <w:tcPr>
            <w:tcW w:w="2651" w:type="dxa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系统不满足功能需求的一票否决。按照消防部门相关制度，符合3.0，发现一次消防部门下放整改通知扣1.0，发现一处不符合扣0.5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5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2、消防值守人员掌握消防设施设备的使用方法并能及时处理各种问题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微型消防站各类器材保持随时可使用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符合2.0，不符合0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8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3、组织开展消防法规及消防知识的宣传教育，明确各区域防火责任人</w:t>
            </w:r>
          </w:p>
        </w:tc>
        <w:tc>
          <w:tcPr>
            <w:tcW w:w="687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 xml:space="preserve">符合1.0，责行人不明确每发现一处扣0.2 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42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4、订有突发火灾的应急方案，并组织演练；设立消防疏散示意图，照明设施、引路标志完好，紧急疏散通道畅通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无应急方案扣0.5、无演练记录扣0.5，各种标志每缺少一个及每发现一处不畅通扣0.1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５、无火灾安全隐患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每发现一处安全隐患扣0.5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（五）电梯系统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6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　</w:t>
            </w:r>
          </w:p>
        </w:tc>
        <w:tc>
          <w:tcPr>
            <w:tcW w:w="587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8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１、电梯准用证、年检合格证、维修保养合同完备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5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２、电梯按规定或约定时间运行，安全设施齐全，通风、照明及附属设施完好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每发现一处不符合扣0.2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42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３、轿厢、井道、机房保持清洁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轿厢应干净，井道应清洁，无垃圾杂物，机房门道槽应无杂物，发现一起不合格扣0.2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8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4、电梯巡查和维修保养记录齐全并按规定存档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１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8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5、制定有故障和救援应急处理方案和处理程序并进行演练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１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8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６、运行出现险情后，应有排除险情的应急处理措施并组织演练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（六）给排水系统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8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　</w:t>
            </w:r>
          </w:p>
        </w:tc>
        <w:tc>
          <w:tcPr>
            <w:tcW w:w="587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91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１、建立大厦用水、供水管理制度，积极协助用户安排合理的用水和节水计划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符合1.0，不符全0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8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2、设备、阀门、减压阀、管道工作正常，无跑冒滴漏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每发现一处不符合扣0.2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99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3、按规定对二次供水蓄水池设施设备进行清洁、清毒；二次供水卫生许可证、水质化验单、操作人员健康合格证齐全；水池、水箱清洁卫生，无二次污染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符合2.0，每发现一项不符合扣0.5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5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4、给排水设施设备运行、维保、抢修工作正常，记录齐全并按规定存档；限水、停水按规定时间通知住用户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符合1.0，每发现一处不符合扣0.2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5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5、排水系统通畅，排水（排污）设备工作正常，道路无积水，地下室、车库、设备房无积水、浸泡发生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 每发现一处不符合扣0.2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8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6、制定有给排水系统故障和停水应急处理方案和处理程序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符合1.0、每发现一处不符合扣0.2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8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7、制定事故应急处理方案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无处理方案扣1.0，方案不完善扣0.5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（七）空调及采暖通风（A或B）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5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　</w:t>
            </w:r>
          </w:p>
        </w:tc>
        <w:tc>
          <w:tcPr>
            <w:tcW w:w="587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A、空调及采暖通风(水系统空调)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5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1、中央空调系统运行正常，水塔运行正常且噪音不超标，无严重滴漏水现象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符合1.0，不符合0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8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2、中央空调系统出现运行故障后，维修人员在规定时间内到达现场维修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符合1.0，不符合0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5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3、制订中央空调发生故障应急处理方案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无应急处理方案扣1.0，有方案但不完善或执行不够的扣0.5</w:t>
            </w:r>
          </w:p>
        </w:tc>
        <w:tc>
          <w:tcPr>
            <w:tcW w:w="587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 xml:space="preserve">4、供暖设备设备完好，运行正常 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符合1.0，不符合0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8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5、管道、阀门无跑冒滴漏现象及事故隐患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每发现一处不符合扣0.2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B、空调及采暖通风(VRV空调)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5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1、空调机组运行正常，室外机外观整洁无损坏，无线路和管道破损裸露和跑冒滴漏现象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符合1，不符合0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5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2、室外机基座完整无损坏，螺栓紧固件无松脱，散热翅片完整无损坏，及时修复有记录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符合1.0，每发一处不符合扣0.2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91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3、有各项保养记录，室内滤网和室外机散热清洗有完善的实施记录（不少于2次/年）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1.5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符合1.5，不符合0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42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4、有完整的空调故障应急处理方案、保养程序和完整的安装使用验收记录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出现运行故障后，维修人员在规定时间内到达现场维修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1.5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符合1.0，每发一处不符扣0.5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restart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四</w:t>
            </w:r>
          </w:p>
        </w:tc>
        <w:tc>
          <w:tcPr>
            <w:tcW w:w="354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共用设施管理</w:t>
            </w:r>
          </w:p>
        </w:tc>
        <w:tc>
          <w:tcPr>
            <w:tcW w:w="687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</w:t>
            </w:r>
          </w:p>
        </w:tc>
        <w:tc>
          <w:tcPr>
            <w:tcW w:w="2651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58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8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1、共用配套服务设施完好，无随意改变用途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 每发现一处不符合扣0.2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8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2、共用管线统一下地或入公共管道，无架空管线，无碍观瞻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 每发现一处不符合扣0.2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8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3、道路、楼道、大堂等公共区域照明完好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 每发现一处不亮扣0.2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8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4、大厦范围内的道路通畅，路面无破损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 每发现一处不符合扣0.2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restart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五</w:t>
            </w:r>
          </w:p>
        </w:tc>
        <w:tc>
          <w:tcPr>
            <w:tcW w:w="354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秩序及车辆管理</w:t>
            </w:r>
          </w:p>
        </w:tc>
        <w:tc>
          <w:tcPr>
            <w:tcW w:w="687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9</w:t>
            </w:r>
          </w:p>
        </w:tc>
        <w:tc>
          <w:tcPr>
            <w:tcW w:w="2651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58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8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1、大厦基本实行封闭式管理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严格落实政府对“疫情”防控的相关措施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42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2、有专业秩序维护队伍，实行24小时值班及巡逻制度；秩序维护人员熟悉大厦的环境，文明值勤，训练有素，言语规范，认真负责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符合2.0，秩序维护队伍无上岗证扣1.0，其它每发现一处不符合扣0.2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5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3、结合大厦特点，制订安全防范措施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对特殊的部位要有相应的防范措施，每发现一处无防范措施扣0.2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8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4、进出大厦各种车辆管理有序，无堵塞交通现象，不影响行人通行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8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5、大厦外停车场有专人疏导，管理有序，排列整齐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6、室内停车场管理规范，出入登记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5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7、非机动车车辆有集中停放场地，充电、停放管理制度落实，停放整齐，场地整洁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8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8、危及人身安全处设有明显标志和防范措施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restart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六</w:t>
            </w:r>
          </w:p>
        </w:tc>
        <w:tc>
          <w:tcPr>
            <w:tcW w:w="354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环境卫生管理</w:t>
            </w:r>
          </w:p>
        </w:tc>
        <w:tc>
          <w:tcPr>
            <w:tcW w:w="687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10</w:t>
            </w:r>
          </w:p>
        </w:tc>
        <w:tc>
          <w:tcPr>
            <w:tcW w:w="2651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58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5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1、环卫设施完备，设有垃圾箱、果皮箱、垃圾中转站；上列设备位置固定、垃圾分类标识清晰、外观干净整洁无破损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符合2.0，未实行垃圾分类扣1.0，每发现一处不符合扣0.2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42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2、清洁卫生实行责任制，有专职的清洁人员和明确的责任范围，实行标准化清洁保洁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未实行责任制的扣0.5，无专职清洁人员和责任范围的扣0.3，未实行标准化保洁的扣0.2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55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3、垃圾日产日清，定期进行卫生消毒灭杀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每发现一处垃圾（含建筑垃圾）扣0.2，未达到垃圾日产日清的扣0.5，未定期进行卫生消毒灭杀扣0.5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如在疫情期间未消杀或无消杀记录的扣1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.0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99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4、房屋共用部位保持清洁，无乱贴、乱画，无擅自占用和堆放杂物现象；大堂、楼梯扶拦、天台、共用玻璃窗等保持洁净；大厦内共用场地无纸屑、烟头等废弃物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符合2.0，每发现一处不符合扣0.2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5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5、商业网点管理有序，符合卫生标准；无乱设摊点、广告牌和乱贴、乱画现象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符合2.0，每发现一处不符合扣0.2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5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6、大厦内排烟、排污、噪声等符合国家环保标准，外墙无污染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每发现一处不合格扣0.2，发现一次环保部门下达整改通知扣0.5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restart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七</w:t>
            </w:r>
          </w:p>
        </w:tc>
        <w:tc>
          <w:tcPr>
            <w:tcW w:w="354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绿化管理</w:t>
            </w:r>
          </w:p>
        </w:tc>
        <w:tc>
          <w:tcPr>
            <w:tcW w:w="687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</w:t>
            </w:r>
          </w:p>
        </w:tc>
        <w:tc>
          <w:tcPr>
            <w:tcW w:w="2651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58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8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1、绿地无改变使用用途和破环、践踏、占用现象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8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2、花草树木长势良好，修剪整齐美观，无病虫害，无折损现象，无斑秃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长势不好扣1.0，每发现一处不符合扣0.1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8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3、绿地无纸屑、烟头、石地等杂物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符合1.0，每发现一处不符合扣0.2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8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4、对大厦内部、天台、屋顶等绿化有管理措施并落实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无措施扣1.0；有措施，落实不力扣0.5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restar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八</w:t>
            </w:r>
          </w:p>
        </w:tc>
        <w:tc>
          <w:tcPr>
            <w:tcW w:w="354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精神文明建设</w:t>
            </w:r>
          </w:p>
        </w:tc>
        <w:tc>
          <w:tcPr>
            <w:tcW w:w="687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</w:t>
            </w:r>
          </w:p>
        </w:tc>
        <w:tc>
          <w:tcPr>
            <w:tcW w:w="2651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58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5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1、项目管理单位组建了党的基层组织并开展活动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项目管理单位组建党基层组织并开展活动0.5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开展楼宇党建活动0.5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8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2、全体业主和使用人能自觉维护公众利益，遵守大厦的各项管理规定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3、大厦内未发生重大违纪违法案件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restar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九</w:t>
            </w:r>
          </w:p>
        </w:tc>
        <w:tc>
          <w:tcPr>
            <w:tcW w:w="354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管理效益</w:t>
            </w:r>
          </w:p>
        </w:tc>
        <w:tc>
          <w:tcPr>
            <w:tcW w:w="687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</w:t>
            </w:r>
          </w:p>
        </w:tc>
        <w:tc>
          <w:tcPr>
            <w:tcW w:w="2651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58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l、物业管理服务费用收缴率98％以上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每降低1个百分点扣0.5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 xml:space="preserve">2、提供有偿服务，开展多种经营 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53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 xml:space="preserve">3、本大厦物业管理经营状况 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盈利1.0，持平0.5，亏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损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0</w:t>
            </w: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3996" w:type="dxa"/>
            <w:gridSpan w:val="2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lang w:eastAsia="zh-CN"/>
              </w:rPr>
              <w:t>总计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lang w:val="en-US" w:eastAsia="zh-CN"/>
              </w:rPr>
              <w:t>100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587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0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outlineLvl w:val="0"/>
        <w:rPr>
          <w:rFonts w:ascii="黑体" w:eastAsia="黑体"/>
          <w:color w:val="auto"/>
          <w:sz w:val="32"/>
          <w:szCs w:val="32"/>
        </w:rPr>
      </w:pPr>
      <w:bookmarkStart w:id="1" w:name="_Toc13806"/>
      <w:r>
        <w:rPr>
          <w:rFonts w:ascii="黑体" w:eastAsia="黑体" w:cs="黑体"/>
          <w:color w:val="auto"/>
          <w:sz w:val="32"/>
          <w:szCs w:val="32"/>
        </w:rPr>
        <w:t>202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黑体" w:eastAsia="黑体" w:cs="黑体"/>
          <w:color w:val="auto"/>
          <w:sz w:val="32"/>
          <w:szCs w:val="32"/>
        </w:rPr>
        <w:t>年武汉市物业管理示范工业区标准及评分细则</w:t>
      </w:r>
      <w:bookmarkEnd w:id="1"/>
    </w:p>
    <w:p>
      <w:pPr>
        <w:spacing w:line="360" w:lineRule="auto"/>
        <w:jc w:val="left"/>
        <w:rPr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</w:rPr>
        <w:t>项目名称：</w:t>
      </w:r>
      <w:r>
        <w:rPr>
          <w:color w:val="auto"/>
          <w:sz w:val="24"/>
          <w:szCs w:val="24"/>
        </w:rPr>
        <w:t xml:space="preserve">                                                </w:t>
      </w:r>
    </w:p>
    <w:tbl>
      <w:tblPr>
        <w:tblStyle w:val="3"/>
        <w:tblW w:w="9116" w:type="dxa"/>
        <w:jc w:val="center"/>
        <w:tblCellSpacing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22"/>
        <w:gridCol w:w="3511"/>
        <w:gridCol w:w="572"/>
        <w:gridCol w:w="2730"/>
        <w:gridCol w:w="623"/>
        <w:gridCol w:w="623"/>
        <w:gridCol w:w="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tcBorders>
              <w:top w:val="single" w:color="auto" w:sz="12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3511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标准内容</w:t>
            </w:r>
          </w:p>
        </w:tc>
        <w:tc>
          <w:tcPr>
            <w:tcW w:w="572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规定分值</w:t>
            </w:r>
          </w:p>
        </w:tc>
        <w:tc>
          <w:tcPr>
            <w:tcW w:w="273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评分细则</w:t>
            </w:r>
          </w:p>
        </w:tc>
        <w:tc>
          <w:tcPr>
            <w:tcW w:w="623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自评分值</w:t>
            </w:r>
          </w:p>
        </w:tc>
        <w:tc>
          <w:tcPr>
            <w:tcW w:w="623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区评分值</w:t>
            </w:r>
          </w:p>
        </w:tc>
        <w:tc>
          <w:tcPr>
            <w:tcW w:w="63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市评分值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restar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一</w:t>
            </w:r>
          </w:p>
        </w:tc>
        <w:tc>
          <w:tcPr>
            <w:tcW w:w="3511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基础管理</w:t>
            </w:r>
          </w:p>
        </w:tc>
        <w:tc>
          <w:tcPr>
            <w:tcW w:w="572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18</w:t>
            </w:r>
          </w:p>
        </w:tc>
        <w:tc>
          <w:tcPr>
            <w:tcW w:w="2730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1、按照规划要求建设，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房屋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及配套设施投入使用，该项目须具备：（1）建设用地规划许可证；（2）建设工程规划许可证；（3）建设工程施工许可证及配套设施相关许可证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2、己办理承接查验手续：有承接查验记录及工程竣工验收备案证明书（无需协议备案）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3、由一家物业管理企业实施统一专业化管理，提供中标通知书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4、园区业主在租售厂房前，与选聘的物业管理企业签订物业管理合同，双方责权利明确，在物业合同中对于园区的大中小维修有相关约定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签订物业管理合同0.5，有明确的相关约定0.5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5、在房屋租售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（租赁）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合同签订时，园区业主方（租赁）与物业管理企业签订物业管理服务协议，双方责权利明确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6、房屋使用手册、装饰装修管理规定及业主与使用人公约等各项公众制度完善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完善l.0，不完善0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7、物业管理企业制订争创规划和具体实施方案、并经园区业主方书面同意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8、工业区物业管理建立健全各项管理制度、各岗位工作标准，并制定具体的落实措施和考核办法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制度、工作标准建立健全1.0，主要检查：物业管理服务工作程序、质量保证制度、收费管理制度、财务制度、岗位考核制度等每发现一处不完整规范扣0.2；未制定具体的落实措施扣0.5，未制定考核办法扣 0.5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9、该项目物业管理人员持证（含经济类中级以上、物业管理师、项目经理证）上岗；员工统一着装，佩戴明显标志，工作规范，作风严谨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该项目物业负责人无上岗证书扣1.0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10、物业管理企业应用现代化管理手段，提高管理效率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11、物业管理企业在收费、财务管理、会计核算、税收等方面执行有关规定；并按合同约定公示物业管理服务费用收支情况</w:t>
            </w:r>
          </w:p>
        </w:tc>
        <w:tc>
          <w:tcPr>
            <w:tcW w:w="572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物业管理企业执行有关规定0.5，未执行0；已公示0.5，未公示0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12、该项目的房屋及其共用设施设备档案资料齐全，分类成册，管理完善，查阅方便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包括房屋总平面图、地下管网图，房屋数量、种类、用途分类统计成册，房屋及共用设施设备大中修记录。共用设施设备的设计安装图纸资料和台帐。每发现一项不齐全或不完善扣0.1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13、建立业主（使用者）档案、房屋及其配套设施权属清册，查阅方便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每发现一处不符合扣0.2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14、建立24小时值班制度和值班记录，设立服务电话，接受业主和使用人对物业管理服务报修、求助、建议、问询、质疑、投诉等各类信息的收集和反馈，并及时处理，有回访制度和记录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符合2.0，没有值班制度和值班记录的扣0.5，未设服务电话扣0.5，发现一处处理不及时扣0.2，没有回访记录每次扣0.1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15、每半年一次向住用户发放物业管理服务工作征求意见单，对合理的建议及时整改，满意率达90％以上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每半年进行满意度调查，满意度达90%得1.0，低于90%不得分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16、建立并落实维修服务承诺制：零修急修及时率 100％，返修率不高于1％，并有回访记录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建立并落实0.5，建立但未落实扣0.2.未建立扣0.5；及时率符合0.2，每降低1个百分点扣 0.1；返修率符合0.2，不符合0；回访记录完整 0.1，记录不完整或无回访记录0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restar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二</w:t>
            </w:r>
          </w:p>
        </w:tc>
        <w:tc>
          <w:tcPr>
            <w:tcW w:w="35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房屋管理及维修养护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1、区内各建筑物标志明显，设立引路方向平面图和路标、驻工业区各单位名录标识在区内明显位置，企业铭牌及各类标识牌统一有序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符合1.0，发现一处标志不清或没有标志扣0.2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2、无违反规划私搭乱建，无擅自改变房屋用途现象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符合1.0，每发现一处私搭乱建或擅自改变房屋用途均扣0.5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3、房屋外观完好、整洁；外墙是建材贴面的、无脱落；是玻璃幕墙的，清洁明亮、无破损；是涂料的，无脱落、无污渍；无纸张乱贴、乱涂、乱画和乱悬挂现象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符合1.0，房屋外墙是建材贴面的每发现一处脱落扣0.2，是玻璃幕墙的每发现一处破损或不洁扣0.2，是涂料的每发现一处褪色不一致扣0.2；每发现一处纸张乱贴、乱涂、乱画和乱悬挂扣0.2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4、室外招牌、广告牌、霓虹灯按规定设置，保持整洁统一美观，无安全隐患或破损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符合1.0，未按规定设置0；按规定设置，但不整齐或有破损每处扣0.1，有安全隐患每处扣0.5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5、空调安装位置统一，冷凝水集中收集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符合1.0，发现一处不符合扣0.2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6、楼宇内楼梯、走道、扶手、天花板、吊顶等无破损；墙体整洁，无乱张贴；共用部位门窗、灯具、开关等功能良好；卫生间、水房等管理完好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符合1.0，发现一处不符合扣0.2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7、共用楼梯、天台、通道、卸货平台等处无堆放工业原料、废料、杂物及违章占用等，天台隔热层无破损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符合1.0，发现一处不符合扣0.2</w:t>
            </w: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8、房屋装饰装修符合规定，未发生危及房屋结构安全及拆改管线和损害他人利益的现象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符合1.0，发现一处不符合扣0.5</w:t>
            </w: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9、机器设备单位面积重量不超过楼板承重限度，无危及建筑结构的安全隐患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符合1.0，发现一处不符合扣0.5</w:t>
            </w: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10、防雷设施完好，每年对防雷设施进行巡检养护和检测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符合1.0，无防雷检测扣0.4，其他发现一处不符合扣0.2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restar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三</w:t>
            </w:r>
          </w:p>
        </w:tc>
        <w:tc>
          <w:tcPr>
            <w:tcW w:w="35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共用设备管理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37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(一)综合要求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5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　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l、共用设施设备运行、使用及维护按规定要求要有值守和记录，无事故隐患，专业技术人员和维护人员持证上岗严格遵守操作流程与保养规范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符合1.0，每发现一处不符合扣0.2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2、设备及机房环境整治、封堵完好，无杂物，灰尘、无鼠、虫害发生、机房环境符合设备要求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符合1.0，每发现一处不符合扣0.2</w:t>
            </w: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3、配备所需专业技术人员持证上岗，严格执行操作规程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符合2.0，不符合0</w:t>
            </w: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4、设备良好，运行正常，一年内无重大管理责任事故；设备设施可靠接地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符合1.0，不符合0；每发现一处接地不符合扣0.2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(二)供电系统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5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　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1、保证正常供电，限电、停电有明确的审批权限并按规定时间通知住用户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2、制订临时用电管理措施与停电应急处理措施并严格执行；高压柜、变压器按规定进行检测，各项操作工具齐全，年检合格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符合2.0，不符合0；发现一处不符合扣0.5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3.备用应急电源可随时起用，维保记录完整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符合2.0，记录不完整扣0.5，不符合0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(三)弱电系统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1、按工作标准规定时间排除故障，保证各弱电系统正常工作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符合2.0，发现一处不符合扣0.5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2、监控系统等智能化设施设备运行正常，有记录并按规定期限保存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符合2.0，发现一处不符合扣0.5，不符合0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(四)消防系统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9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　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1、消防控制中心值守人员持证上岗 ，24 小时值班，消防系统设施设备齐全、完好无损，可随时起用，烟感等探测器按规定清洗检测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系统不满足功能需求的一票否决。按照消防部门相关制度，符合2.0，发现一次消防部门下放整改通知扣 1，发现一处不符合扣0.5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2、消防值守人员掌握消防设施设备的使用方法并能及时处理各种问题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微型消防站各类器材保持随时可使用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符合2.0，不符合0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3、组织开展消防法规及消防知识的宣传教育，明确各区域防火责任人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符合1.0，责任人不明确每发现一处扣0.2</w:t>
            </w: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4、订有突发火灾的应急方案，并组织演练；设立消防疏散示意图，照明设施、引路标志完好，紧急疏散通道畅通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无应急方案、无演练记录扣0.5，各种标志每缺少一个及每发现一处不畅通扣0.1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5、工业厂房装修应对装修过程严格监管，装修完成后经消防部门验收合格方可使用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6、区内无火灾安全隐患，园区内企业需与物业或消防部门签订消防责任书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符合1.0,每发现一处安全隐患扣0.5，未签订消防责任书扣0.5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7、园区内房屋消防，用电有严格的管理规定，用电设备安装规范，无安全隐患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(五)电梯系统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　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1、电梯准用证、年检合格证、维修保养合同完备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0.5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，不符合0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2、电梯按规定时间运行，安全设施齐全，通风、照明及附属设施完好，轿厢、井道、机房保持整洁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0.2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每发现一处不符合扣0.2</w:t>
            </w: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3、电梯由专业队伍维修保养；维修、操作人员持证上岗；货运电梯由专人管理操作，严禁超载，客梯严禁载货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0.5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，每发现一处不符合扣0.2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4、电梯巡查和维修保养记录齐全并按规定存档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0.5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，不符合0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5、制定有故障和救援应急处理方案和处理程序并进行演练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0.3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val="en-US" w:eastAsia="zh-CN"/>
              </w:rPr>
              <w:t>0.3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，不符合0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(六)给排水系统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7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　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1、建立工业区用水、供水管理制度，积极协助用户安排合理的用水和节水计划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符合1.0，基本符合0.5，不符合0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2、设备、阀门、减压阀、管道工作正常、大跑冒滴漏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每发现一处不符合扣0.2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3、按规定对二次供水蓄水池设施设备进行清洁、清毒；二次供水卫生许可证、水质化验单、操作人员健康合格证齐全；水池、水箱清洁卫生，无二次污染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730" w:type="dxa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符合2.0，每发现一项不符合扣0.5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4、给排水设施设备运行、维保、抢修工作正常，记录齐全并按规定存档;限水、停水按规定时间通知业主和使用人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符合1.0、每发现一处不符合扣0.2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5、排水系统通畅，排水（排污）设备工作正常，汛期道路无积水，地下室、车库、设备房无积水，浸泡发生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符合1.0、每发现一处不符合扣0.2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6、制定有给排水系统故障和停水应急处理方案和处理程序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符合1.0、每发现一处不符合扣0.2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(七)空调及采暖通风（A或B）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5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　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A、空调及采暖通风(水系统空调)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1、中央空调系统运行正常，水塔运行正常且噪音不超标，无严重滴漏水现象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符合1.0，不符合0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2、中央空调系统出现运行故障后，维修人员在规定时间内到达现场维修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符合1.0，不符合0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3、制订中央空调发生故障应急处理方案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无应急处理方案扣1.0，有方案但不完善或执行不够的扣0.5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 xml:space="preserve">4、供暖设备设备完好，运行正常 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符合1.0，不符合0</w:t>
            </w: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5、管道、阀门无跑冒滴漏现象及事故隐患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每发现一处不符合扣0.2</w:t>
            </w: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B、空调及采暖通风(VRV空调)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1、空调机组运行正常，室外机外观整洁无损坏，无线路和管道破损裸露和跑冒滴漏现象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符合1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.0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，不符合0</w:t>
            </w: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2、室外机基座完整无损坏，螺栓紧固件无松脱，散热翅片完整无损坏，及时修复有记录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符合1.0，每发一处不符合扣0.2</w:t>
            </w: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3、有各项保养记录，室内滤网和室外机散热清洗有完善的实施记录（不少于2次/年）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1.5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符合1.5，不符合0</w:t>
            </w: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4、有完整的空调故障应急处理方案、保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养程序和完整的安装使用验收记录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出现运行故障后，维修人员在规定时间内到达现场维修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1.5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符合1.0，每发一处不符扣0.5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restar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四</w:t>
            </w:r>
          </w:p>
        </w:tc>
        <w:tc>
          <w:tcPr>
            <w:tcW w:w="35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共用设施管理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1、共用配套服务设施完好，无随意改变用途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符合1.0，每发现一处不符合扣0.2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2、共用管线统一下地或入公共管道，无架空管线，无碍观瞻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符合1.0，每发现一处不符合扣0.2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3、道路、楼道、大堂等公共区域照明完好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符合1.0，每发现一处不亮扣0.2</w:t>
            </w: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工业区范围的道路通畅，路面无破损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符合1.0，每发现一处不符合扣0.2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restar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五</w:t>
            </w:r>
          </w:p>
        </w:tc>
        <w:tc>
          <w:tcPr>
            <w:tcW w:w="35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秩序及车辆管理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9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1、工业区基本实行封闭式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管理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严格落实政府对“疫情”防控的相关措施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符合1.0，每有一起不符合扣0.2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2、有专业秩序维护队伍，实行24小时值班及巡逻制度；秩序维护人员熟悉工业区的环境，文明值勤，训练有素，言语规范，认真负责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符合2.0，秩序维护队伍无上岗证扣1.0，其它每发现一处不符合扣0.2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3、综合工业区特点，制订安全防范措施，对货物(产品、设备)出门实行凭证通行制度</w:t>
            </w:r>
          </w:p>
        </w:tc>
        <w:tc>
          <w:tcPr>
            <w:tcW w:w="572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对特殊的部位要有相应的防范措施，每发现一处无防范措施扣0.2，未实行通行制度扣0.5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4、进出工业区各种车辆管理有序，无堵塞交通现象，不影响行人通行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5、工业区内停车场有专人疏导，管理有序，排列整齐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6、室内停车场管理严格，出入有登记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7、非机动车辆有集中停放场地，充电、停放管理制度落实，管理有序，停放整齐，场地整洁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8、危及人身安全处设有明显标志和防范措施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restar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六</w:t>
            </w:r>
          </w:p>
        </w:tc>
        <w:tc>
          <w:tcPr>
            <w:tcW w:w="35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环境卫生管理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1、环卫设施完备，设有垃圾箱、果皮箱、垃圾中转站；上列设备位置固定、垃圾分类标识清晰、外观干净整洁无明显破损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符合2.0，未实行垃圾分类扣1.0，每发现一处不符合扣0.2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2、清洁卫生实行责任制，有专职清洁人员和明确的责任范围，实行标准化清洁保洁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未实行责任制的扣0.5，无专职清洁人员和责任范围的扣0.3，未实行标准化保洁的扣0.2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3、垃圾日产日清，定期进行卫生灭杀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每发现一处垃圾（含建筑垃圾）扣0.2，未达到垃圾日产日清的扣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0.5，未定期进行卫生消毒灭杀扣0.5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  <w:t>如在疫情期间未消杀或无消杀记录的扣1</w:t>
            </w: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.0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4、对有毒、有害工业垃圾管理严格按规定分装，不得与其它垃圾混杂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5、房屋共用部位保持清洁，无乱贴、乱画，无擅自占用和堆放杂物现象；楼梯扶栏、天台、共用玻璃窗等保持洁净；工业区内共用场地无纸屑、烟头等废弃物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符合2.0，每发现一处不符合扣0.2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6、商业网点管理有序，符合卫生标准；无乱设摊点、广告牌和乱贴、乱画现象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符合2.0，每发现一处不符合扣0.2</w:t>
            </w: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7、工业区内废水、废气、废烟、噪音等符合国家环保标准，无有毒、有害物质；贮放、清运管理有序；房屋外墙无污染；各类排气口安装统一有序，无安全隐患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符合2.0，发现一次环保部门下放整改通知扣 0.5，其它每发现一处不符合扣0.2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restar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七</w:t>
            </w:r>
          </w:p>
        </w:tc>
        <w:tc>
          <w:tcPr>
            <w:tcW w:w="35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绿化管理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1、绿地无改变使用用途和破坏、践踏、占用现象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2、花草树木长势良好，修剪整齐美观，无病虫害，无折损现象，无斑秃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长势不好扣1.0，每发现一处不符合扣0.1</w:t>
            </w: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3、绿地无纸屑、烟头、石块等杂物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符合1.0，每发现一处不符合扣0.2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restar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八</w:t>
            </w:r>
          </w:p>
        </w:tc>
        <w:tc>
          <w:tcPr>
            <w:tcW w:w="35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精神文明建设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1、项目管理单位组建了党的基层组织并开展活动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项目管理单位组建党基层组织并开展活动0.5；开展园区党建开展活动0.5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2、全体业主和使用人能自觉维护公众利益，遵守工业区的各项管理规定；设有学习宣传园地，宣传工业区管理、卫生、治安、消防等方面的知识；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3、园区内未发生重大违纪违法案件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restar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九</w:t>
            </w:r>
          </w:p>
        </w:tc>
        <w:tc>
          <w:tcPr>
            <w:tcW w:w="35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管理效益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4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1、物业管理服务费用收缴率98％以上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每降低1个百分点扣0.5</w:t>
            </w: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2、提供有偿服务，开展多种经营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符合1.0，不符合0</w:t>
            </w: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42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3511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3、本工业区物业管理经营状况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</w:rPr>
              <w:t>盈利1.0，持平0.5，亏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损</w:t>
            </w:r>
            <w:r>
              <w:rPr>
                <w:rFonts w:hint="eastAsia" w:ascii="宋体" w:hAnsi="宋体" w:eastAsia="宋体" w:cs="宋体"/>
                <w:color w:val="auto"/>
                <w:kern w:val="0"/>
              </w:rPr>
              <w:t>0</w:t>
            </w: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3933" w:type="dxa"/>
            <w:gridSpan w:val="2"/>
            <w:vAlign w:val="top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lang w:eastAsia="zh-CN"/>
              </w:rPr>
              <w:t>总计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auto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lang w:val="en-US" w:eastAsia="zh-CN"/>
              </w:rPr>
              <w:t>100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23" w:type="dxa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  <w:tc>
          <w:tcPr>
            <w:tcW w:w="63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</w:rPr>
            </w:pPr>
          </w:p>
        </w:tc>
      </w:tr>
    </w:tbl>
    <w:p>
      <w:pPr>
        <w:rPr>
          <w:rFonts w:hint="eastAsia"/>
          <w:b/>
          <w:bCs/>
          <w:color w:val="auto"/>
          <w:lang w:val="en-US" w:eastAsia="zh-CN"/>
        </w:rPr>
      </w:pPr>
    </w:p>
    <w:p>
      <w:pPr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特别说明：</w:t>
      </w:r>
    </w:p>
    <w:p>
      <w:pPr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申报2024年武汉市物业管理示范工业区的项目分两类：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1、工业区内含空调系统的项目考评总分为100分，示范达标分数为94分以上（含94分）；</w:t>
      </w:r>
    </w:p>
    <w:p>
      <w:pPr>
        <w:numPr>
          <w:ilvl w:val="0"/>
          <w:numId w:val="0"/>
        </w:numPr>
      </w:pPr>
      <w:r>
        <w:rPr>
          <w:rFonts w:hint="eastAsia"/>
          <w:b w:val="0"/>
          <w:bCs w:val="0"/>
          <w:color w:val="auto"/>
          <w:lang w:val="en-US" w:eastAsia="zh-CN"/>
        </w:rPr>
        <w:t>2、工业区不含空调系统的项目考评总分为95分，示范达标分数为89分以上（含89分）。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ZWUyZDEzNDFiMDIyMWQwZTJjMTI5ZjJjYzUxNjYifQ=="/>
  </w:docVars>
  <w:rsids>
    <w:rsidRoot w:val="3D1B2361"/>
    <w:rsid w:val="3D1B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2024-05-13T08:54:00Z</dcterms:created>
  <dc:creator>Coolboy</dc:creator>
  <cp:lastModifiedBy>Coolboy</cp:lastModifiedBy>
  <dcterms:modified xsi:type="dcterms:W3CDTF">2024-05-13T08:56:37Z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A0691788791440D6BE673AD7094AA177_11</vt:lpwstr>
  </property>
</Properties>
</file>